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485AE" w14:textId="2C5D2A2D" w:rsidR="005036DE" w:rsidRPr="001779F7" w:rsidRDefault="005036DE" w:rsidP="00FC775A">
      <w:pPr>
        <w:spacing w:after="0" w:line="0" w:lineRule="atLeast"/>
        <w:jc w:val="right"/>
        <w:rPr>
          <w:rFonts w:asciiTheme="minorEastAsia" w:hAnsiTheme="minorEastAsia" w:cs="Times New Roman"/>
          <w:color w:val="000000" w:themeColor="text1"/>
          <w:sz w:val="21"/>
          <w:szCs w:val="21"/>
        </w:rPr>
      </w:pPr>
      <w:r w:rsidRPr="001779F7">
        <w:rPr>
          <w:rFonts w:asciiTheme="minorEastAsia" w:hAnsiTheme="minorEastAsia" w:cs="Times New Roman"/>
          <w:noProof/>
          <w:sz w:val="21"/>
          <w:szCs w:val="21"/>
        </w:rPr>
        <mc:AlternateContent>
          <mc:Choice Requires="wps">
            <w:drawing>
              <wp:anchor distT="0" distB="0" distL="114300" distR="114300" simplePos="0" relativeHeight="251659264" behindDoc="0" locked="0" layoutInCell="1" allowOverlap="1" wp14:anchorId="6D98A865" wp14:editId="09DF2A7E">
                <wp:simplePos x="0" y="0"/>
                <wp:positionH relativeFrom="column">
                  <wp:posOffset>-13648</wp:posOffset>
                </wp:positionH>
                <wp:positionV relativeFrom="paragraph">
                  <wp:posOffset>-27296</wp:posOffset>
                </wp:positionV>
                <wp:extent cx="764275" cy="587992"/>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764275" cy="587992"/>
                        </a:xfrm>
                        <a:prstGeom prst="rect">
                          <a:avLst/>
                        </a:prstGeom>
                        <a:solidFill>
                          <a:schemeClr val="lt1"/>
                        </a:solidFill>
                        <a:ln w="6350">
                          <a:noFill/>
                        </a:ln>
                      </wps:spPr>
                      <wps:txbx>
                        <w:txbxContent>
                          <w:p w14:paraId="7D35CF10" w14:textId="341770AA" w:rsidR="00B7083B" w:rsidRDefault="00B7083B">
                            <w:r>
                              <w:rPr>
                                <w:noProof/>
                              </w:rPr>
                              <w:drawing>
                                <wp:inline distT="0" distB="0" distL="0" distR="0" wp14:anchorId="0249F49E" wp14:editId="58228EC7">
                                  <wp:extent cx="532262" cy="53344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812" cy="538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8A865" id="_x0000_t202" coordsize="21600,21600" o:spt="202" path="m,l,21600r21600,l21600,xe">
                <v:stroke joinstyle="miter"/>
                <v:path gradientshapeok="t" o:connecttype="rect"/>
              </v:shapetype>
              <v:shape id="Text Box 3" o:spid="_x0000_s1026" type="#_x0000_t202" style="position:absolute;left:0;text-align:left;margin-left:-1.05pt;margin-top:-2.15pt;width:60.2pt;height: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" fillcolor="white [3201]" stroked="f" strokeweight=".5pt">
                <v:textbox>
                  <w:txbxContent>
                    <w:p w14:paraId="7D35CF10" w14:textId="341770AA" w:rsidR="00B7083B" w:rsidRDefault="00B7083B">
                      <w:r>
                        <w:rPr>
                          <w:noProof/>
                        </w:rPr>
                        <w:drawing>
                          <wp:inline distT="0" distB="0" distL="0" distR="0" wp14:anchorId="0249F49E" wp14:editId="58228EC7">
                            <wp:extent cx="532262" cy="53344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812" cy="538000"/>
                                    </a:xfrm>
                                    <a:prstGeom prst="rect">
                                      <a:avLst/>
                                    </a:prstGeom>
                                    <a:noFill/>
                                    <a:ln>
                                      <a:noFill/>
                                    </a:ln>
                                  </pic:spPr>
                                </pic:pic>
                              </a:graphicData>
                            </a:graphic>
                          </wp:inline>
                        </w:drawing>
                      </w:r>
                    </w:p>
                  </w:txbxContent>
                </v:textbox>
              </v:shape>
            </w:pict>
          </mc:Fallback>
        </mc:AlternateContent>
      </w:r>
      <w:r w:rsidR="00BD54B6" w:rsidRPr="001779F7">
        <w:rPr>
          <w:rFonts w:asciiTheme="minorEastAsia" w:hAnsiTheme="minorEastAsia" w:cs="Times New Roman"/>
          <w:color w:val="000000" w:themeColor="text1"/>
          <w:sz w:val="21"/>
          <w:szCs w:val="21"/>
        </w:rPr>
        <w:t>April 11, 2021</w:t>
      </w:r>
    </w:p>
    <w:p w14:paraId="55692863" w14:textId="059F83C5" w:rsidR="005036DE" w:rsidRPr="001779F7" w:rsidRDefault="005036DE" w:rsidP="00FC775A">
      <w:pPr>
        <w:spacing w:after="0" w:line="0" w:lineRule="atLeast"/>
        <w:rPr>
          <w:rFonts w:asciiTheme="minorEastAsia" w:hAnsiTheme="minorEastAsia" w:cs="Times New Roman"/>
          <w:b/>
          <w:bCs/>
          <w:color w:val="000000" w:themeColor="text1"/>
          <w:sz w:val="21"/>
          <w:szCs w:val="21"/>
        </w:rPr>
      </w:pPr>
    </w:p>
    <w:p w14:paraId="03087D7A" w14:textId="77777777" w:rsidR="00A62C46" w:rsidRPr="001779F7" w:rsidRDefault="00A62C46" w:rsidP="00FC775A">
      <w:pPr>
        <w:spacing w:after="0" w:line="0" w:lineRule="atLeast"/>
        <w:jc w:val="center"/>
        <w:rPr>
          <w:rFonts w:asciiTheme="minorEastAsia" w:hAnsiTheme="minorEastAsia" w:cs="Times New Roman"/>
          <w:b/>
          <w:bCs/>
          <w:color w:val="000000" w:themeColor="text1"/>
          <w:sz w:val="21"/>
          <w:szCs w:val="21"/>
        </w:rPr>
      </w:pPr>
    </w:p>
    <w:p w14:paraId="467FEB3F" w14:textId="5B75912C" w:rsidR="005036DE" w:rsidRPr="001779F7" w:rsidRDefault="00CE1931" w:rsidP="00CE1931">
      <w:pPr>
        <w:tabs>
          <w:tab w:val="left" w:pos="3690"/>
          <w:tab w:val="center" w:pos="4513"/>
        </w:tabs>
        <w:spacing w:after="0" w:line="0" w:lineRule="atLeast"/>
        <w:rPr>
          <w:rFonts w:asciiTheme="minorEastAsia" w:hAnsiTheme="minorEastAsia"/>
          <w:b/>
          <w:bCs/>
          <w:color w:val="000000" w:themeColor="text1"/>
          <w:sz w:val="21"/>
          <w:szCs w:val="21"/>
          <w:lang w:bidi="th-TH"/>
        </w:rPr>
      </w:pPr>
      <w:r w:rsidRPr="001779F7">
        <w:rPr>
          <w:rFonts w:asciiTheme="minorEastAsia" w:hAnsiTheme="minorEastAsia" w:cs="Times New Roman"/>
          <w:b/>
          <w:bCs/>
          <w:color w:val="000000" w:themeColor="text1"/>
          <w:sz w:val="21"/>
          <w:szCs w:val="21"/>
        </w:rPr>
        <w:tab/>
      </w:r>
      <w:r w:rsidRPr="001779F7">
        <w:rPr>
          <w:rFonts w:asciiTheme="minorEastAsia" w:hAnsiTheme="minorEastAsia" w:cs="Times New Roman"/>
          <w:b/>
          <w:bCs/>
          <w:color w:val="000000" w:themeColor="text1"/>
          <w:sz w:val="21"/>
          <w:szCs w:val="21"/>
        </w:rPr>
        <w:tab/>
      </w:r>
      <w:r w:rsidRPr="001779F7">
        <w:rPr>
          <w:rFonts w:asciiTheme="minorEastAsia" w:hAnsiTheme="minorEastAsia" w:hint="eastAsia"/>
          <w:b/>
          <w:bCs/>
          <w:color w:val="000000" w:themeColor="text1"/>
          <w:sz w:val="21"/>
          <w:szCs w:val="21"/>
          <w:lang w:bidi="th-TH"/>
        </w:rPr>
        <w:t>法務アップデート</w:t>
      </w:r>
    </w:p>
    <w:p w14:paraId="3CF80A57" w14:textId="71C4F46A" w:rsidR="00A62C46" w:rsidRPr="001779F7" w:rsidRDefault="00CE1931" w:rsidP="00CE1931">
      <w:pPr>
        <w:tabs>
          <w:tab w:val="left" w:pos="3690"/>
          <w:tab w:val="center" w:pos="4513"/>
        </w:tabs>
        <w:spacing w:after="0" w:line="0" w:lineRule="atLeast"/>
        <w:jc w:val="center"/>
        <w:rPr>
          <w:rFonts w:asciiTheme="minorEastAsia" w:hAnsiTheme="minorEastAsia"/>
          <w:sz w:val="21"/>
          <w:szCs w:val="21"/>
        </w:rPr>
      </w:pPr>
      <w:r w:rsidRPr="001779F7">
        <w:rPr>
          <w:rFonts w:asciiTheme="minorEastAsia" w:hAnsiTheme="minorEastAsia" w:hint="eastAsia"/>
          <w:b/>
          <w:bCs/>
          <w:color w:val="000000" w:themeColor="text1"/>
          <w:sz w:val="21"/>
          <w:szCs w:val="21"/>
          <w:lang w:bidi="th-TH"/>
        </w:rPr>
        <w:t>（タイ）</w:t>
      </w:r>
    </w:p>
    <w:p w14:paraId="448DA63F" w14:textId="77777777" w:rsidR="00A62C46" w:rsidRPr="001779F7" w:rsidRDefault="00A62C46" w:rsidP="00FC775A">
      <w:pPr>
        <w:spacing w:after="0" w:line="0" w:lineRule="atLeast"/>
        <w:jc w:val="center"/>
        <w:rPr>
          <w:rFonts w:asciiTheme="minorEastAsia" w:hAnsiTheme="minorEastAsia" w:cs="Times New Roman"/>
          <w:b/>
          <w:bCs/>
          <w:color w:val="000000" w:themeColor="text1"/>
          <w:sz w:val="21"/>
          <w:szCs w:val="21"/>
        </w:rPr>
      </w:pPr>
    </w:p>
    <w:p w14:paraId="3CCBF4C6" w14:textId="3A38FC2E" w:rsidR="00C60210" w:rsidRPr="001779F7" w:rsidRDefault="00A62C46" w:rsidP="001779F7">
      <w:pPr>
        <w:spacing w:after="120"/>
        <w:rPr>
          <w:rFonts w:asciiTheme="minorEastAsia" w:hAnsiTheme="minorEastAsia" w:cs="Times New Roman"/>
          <w:b/>
          <w:bCs/>
          <w:sz w:val="21"/>
          <w:szCs w:val="21"/>
        </w:rPr>
      </w:pPr>
      <w:r w:rsidRPr="001779F7">
        <w:rPr>
          <w:rFonts w:asciiTheme="minorEastAsia" w:hAnsiTheme="minorEastAsia" w:cs="Times New Roman"/>
          <w:b/>
          <w:bCs/>
          <w:sz w:val="21"/>
          <w:szCs w:val="21"/>
        </w:rPr>
        <w:t xml:space="preserve">Re: </w:t>
      </w:r>
      <w:r w:rsidR="00C60210" w:rsidRPr="001779F7">
        <w:rPr>
          <w:rFonts w:asciiTheme="minorEastAsia" w:hAnsiTheme="minorEastAsia" w:cs="Times New Roman" w:hint="eastAsia"/>
          <w:b/>
          <w:bCs/>
          <w:sz w:val="21"/>
          <w:szCs w:val="21"/>
        </w:rPr>
        <w:t>法定金利</w:t>
      </w:r>
      <w:r w:rsidR="00CE1931" w:rsidRPr="001779F7">
        <w:rPr>
          <w:rFonts w:asciiTheme="minorEastAsia" w:hAnsiTheme="minorEastAsia" w:cs="Times New Roman" w:hint="eastAsia"/>
          <w:b/>
          <w:bCs/>
          <w:sz w:val="21"/>
          <w:szCs w:val="21"/>
        </w:rPr>
        <w:t>（7.5％ → 3％）へ</w:t>
      </w:r>
      <w:r w:rsidR="00C60210" w:rsidRPr="001779F7">
        <w:rPr>
          <w:rFonts w:asciiTheme="minorEastAsia" w:hAnsiTheme="minorEastAsia" w:cs="Times New Roman" w:hint="eastAsia"/>
          <w:b/>
          <w:bCs/>
          <w:sz w:val="21"/>
          <w:szCs w:val="21"/>
        </w:rPr>
        <w:t>の低減、及び複利計算の禁止（分割金銭債務の場合）</w:t>
      </w:r>
    </w:p>
    <w:p w14:paraId="5B3702F9" w14:textId="5C783CC3" w:rsidR="00C60210" w:rsidRPr="001779F7" w:rsidRDefault="00C60210" w:rsidP="001779F7">
      <w:pPr>
        <w:spacing w:after="120" w:line="0" w:lineRule="atLeast"/>
        <w:jc w:val="both"/>
        <w:rPr>
          <w:rFonts w:asciiTheme="minorEastAsia" w:hAnsiTheme="minorEastAsia" w:cs="Times New Roman"/>
          <w:color w:val="000000" w:themeColor="text1"/>
          <w:sz w:val="21"/>
          <w:szCs w:val="21"/>
        </w:rPr>
      </w:pPr>
      <w:r w:rsidRPr="001779F7">
        <w:rPr>
          <w:rFonts w:asciiTheme="minorEastAsia" w:hAnsiTheme="minorEastAsia" w:cs="Times New Roman" w:hint="eastAsia"/>
          <w:color w:val="000000" w:themeColor="text1"/>
          <w:sz w:val="21"/>
          <w:szCs w:val="21"/>
        </w:rPr>
        <w:t>最近、タイだけではなく、世界的に金利安の傾向となっていることから、タイ民商法典</w:t>
      </w:r>
      <w:r w:rsidR="00CE1931" w:rsidRPr="001779F7">
        <w:rPr>
          <w:rFonts w:asciiTheme="minorEastAsia" w:hAnsiTheme="minorEastAsia" w:cs="Times New Roman" w:hint="eastAsia"/>
          <w:color w:val="000000" w:themeColor="text1"/>
          <w:sz w:val="21"/>
          <w:szCs w:val="21"/>
        </w:rPr>
        <w:t>の改正により、</w:t>
      </w:r>
      <w:r w:rsidRPr="001779F7">
        <w:rPr>
          <w:rFonts w:asciiTheme="minorEastAsia" w:hAnsiTheme="minorEastAsia" w:cs="Times New Roman" w:hint="eastAsia"/>
          <w:color w:val="000000" w:themeColor="text1"/>
          <w:sz w:val="21"/>
          <w:szCs w:val="21"/>
        </w:rPr>
        <w:t>法定金利</w:t>
      </w:r>
      <w:r w:rsidR="00CE1931" w:rsidRPr="001779F7">
        <w:rPr>
          <w:rFonts w:asciiTheme="minorEastAsia" w:hAnsiTheme="minorEastAsia" w:cs="Times New Roman" w:hint="eastAsia"/>
          <w:color w:val="000000" w:themeColor="text1"/>
          <w:sz w:val="21"/>
          <w:szCs w:val="21"/>
        </w:rPr>
        <w:t>を</w:t>
      </w:r>
      <w:r w:rsidR="002F7E30" w:rsidRPr="001779F7">
        <w:rPr>
          <w:rFonts w:asciiTheme="minorEastAsia" w:hAnsiTheme="minorEastAsia" w:cs="Times New Roman" w:hint="eastAsia"/>
          <w:color w:val="000000" w:themeColor="text1"/>
          <w:sz w:val="21"/>
          <w:szCs w:val="21"/>
        </w:rPr>
        <w:t>年間</w:t>
      </w:r>
      <w:r w:rsidRPr="001779F7">
        <w:rPr>
          <w:rFonts w:asciiTheme="minorEastAsia" w:hAnsiTheme="minorEastAsia" w:cs="Times New Roman" w:hint="eastAsia"/>
          <w:color w:val="000000" w:themeColor="text1"/>
          <w:sz w:val="21"/>
          <w:szCs w:val="21"/>
        </w:rPr>
        <w:t>7.5%から3%に低減</w:t>
      </w:r>
      <w:r w:rsidR="00CE1931" w:rsidRPr="001779F7">
        <w:rPr>
          <w:rFonts w:asciiTheme="minorEastAsia" w:hAnsiTheme="minorEastAsia" w:cs="Times New Roman" w:hint="eastAsia"/>
          <w:color w:val="000000" w:themeColor="text1"/>
          <w:sz w:val="21"/>
          <w:szCs w:val="21"/>
        </w:rPr>
        <w:t>する</w:t>
      </w:r>
      <w:r w:rsidR="00E54C57">
        <w:rPr>
          <w:rFonts w:asciiTheme="minorEastAsia" w:hAnsiTheme="minorEastAsia" w:cs="Times New Roman" w:hint="eastAsia"/>
          <w:color w:val="000000" w:themeColor="text1"/>
          <w:sz w:val="21"/>
          <w:szCs w:val="21"/>
        </w:rPr>
        <w:t>緊急勅令</w:t>
      </w:r>
      <w:r w:rsidR="00DE7F43" w:rsidRPr="001779F7">
        <w:rPr>
          <w:rStyle w:val="FootnoteReference"/>
          <w:rFonts w:asciiTheme="minorEastAsia" w:hAnsiTheme="minorEastAsia" w:cs="Times New Roman"/>
          <w:color w:val="000000" w:themeColor="text1"/>
          <w:sz w:val="21"/>
          <w:szCs w:val="21"/>
        </w:rPr>
        <w:footnoteReference w:id="1"/>
      </w:r>
      <w:r w:rsidR="00CE1931" w:rsidRPr="001779F7">
        <w:rPr>
          <w:rFonts w:asciiTheme="minorEastAsia" w:hAnsiTheme="minorEastAsia" w:cs="Times New Roman" w:hint="eastAsia"/>
          <w:color w:val="000000" w:themeColor="text1"/>
          <w:sz w:val="21"/>
          <w:szCs w:val="21"/>
        </w:rPr>
        <w:t>が発表されました。</w:t>
      </w:r>
      <w:r w:rsidRPr="001779F7">
        <w:rPr>
          <w:rFonts w:asciiTheme="minorEastAsia" w:hAnsiTheme="minorEastAsia" w:cs="Times New Roman" w:hint="eastAsia"/>
          <w:color w:val="000000" w:themeColor="text1"/>
          <w:sz w:val="21"/>
          <w:szCs w:val="21"/>
        </w:rPr>
        <w:t>ただし、</w:t>
      </w:r>
      <w:r w:rsidR="004D3A13">
        <w:rPr>
          <w:rFonts w:asciiTheme="minorEastAsia" w:hAnsiTheme="minorEastAsia" w:cs="Times New Roman" w:hint="eastAsia"/>
          <w:color w:val="000000" w:themeColor="text1"/>
          <w:sz w:val="21"/>
          <w:szCs w:val="21"/>
        </w:rPr>
        <w:t>同緊急勅令</w:t>
      </w:r>
      <w:r w:rsidR="002F7E30" w:rsidRPr="001779F7">
        <w:rPr>
          <w:rFonts w:asciiTheme="minorEastAsia" w:hAnsiTheme="minorEastAsia" w:cs="Times New Roman" w:hint="eastAsia"/>
          <w:color w:val="000000" w:themeColor="text1"/>
          <w:sz w:val="21"/>
          <w:szCs w:val="21"/>
        </w:rPr>
        <w:t>より</w:t>
      </w:r>
      <w:r w:rsidR="006B4771">
        <w:rPr>
          <w:rFonts w:asciiTheme="minorEastAsia" w:hAnsiTheme="minorEastAsia" w:cs="Times New Roman" w:hint="eastAsia"/>
          <w:color w:val="000000" w:themeColor="text1"/>
          <w:sz w:val="21"/>
          <w:szCs w:val="21"/>
        </w:rPr>
        <w:t>後発の</w:t>
      </w:r>
      <w:r w:rsidRPr="001779F7">
        <w:rPr>
          <w:rFonts w:asciiTheme="minorEastAsia" w:hAnsiTheme="minorEastAsia" w:cs="Times New Roman" w:hint="eastAsia"/>
          <w:color w:val="000000" w:themeColor="text1"/>
          <w:sz w:val="21"/>
          <w:szCs w:val="21"/>
        </w:rPr>
        <w:t>勅令</w:t>
      </w:r>
      <w:r w:rsidR="00216A55" w:rsidRPr="001779F7">
        <w:rPr>
          <w:rStyle w:val="FootnoteReference"/>
          <w:rFonts w:asciiTheme="minorEastAsia" w:hAnsiTheme="minorEastAsia" w:cs="Times New Roman"/>
          <w:color w:val="000000" w:themeColor="text1"/>
          <w:sz w:val="21"/>
          <w:szCs w:val="21"/>
        </w:rPr>
        <w:footnoteReference w:id="2"/>
      </w:r>
      <w:r w:rsidRPr="001779F7">
        <w:rPr>
          <w:rFonts w:asciiTheme="minorEastAsia" w:hAnsiTheme="minorEastAsia" w:cs="Times New Roman" w:hint="eastAsia"/>
          <w:color w:val="000000" w:themeColor="text1"/>
          <w:sz w:val="21"/>
          <w:szCs w:val="21"/>
        </w:rPr>
        <w:t>により</w:t>
      </w:r>
      <w:r w:rsidR="004D3A13">
        <w:rPr>
          <w:rFonts w:asciiTheme="minorEastAsia" w:hAnsiTheme="minorEastAsia" w:cs="Times New Roman" w:hint="eastAsia"/>
          <w:color w:val="000000" w:themeColor="text1"/>
          <w:sz w:val="21"/>
          <w:szCs w:val="21"/>
        </w:rPr>
        <w:t>、</w:t>
      </w:r>
      <w:r w:rsidR="002F7E30" w:rsidRPr="001779F7">
        <w:rPr>
          <w:rFonts w:asciiTheme="minorEastAsia" w:hAnsiTheme="minorEastAsia" w:cs="Times New Roman" w:hint="eastAsia"/>
          <w:color w:val="000000" w:themeColor="text1"/>
          <w:sz w:val="21"/>
          <w:szCs w:val="21"/>
        </w:rPr>
        <w:t>当該</w:t>
      </w:r>
      <w:r w:rsidRPr="001779F7">
        <w:rPr>
          <w:rFonts w:asciiTheme="minorEastAsia" w:hAnsiTheme="minorEastAsia" w:cs="Times New Roman" w:hint="eastAsia"/>
          <w:color w:val="000000" w:themeColor="text1"/>
          <w:sz w:val="21"/>
          <w:szCs w:val="21"/>
        </w:rPr>
        <w:t>3%を</w:t>
      </w:r>
      <w:r w:rsidR="002F7E30" w:rsidRPr="001779F7">
        <w:rPr>
          <w:rFonts w:asciiTheme="minorEastAsia" w:hAnsiTheme="minorEastAsia" w:cs="Times New Roman" w:hint="eastAsia"/>
          <w:color w:val="000000" w:themeColor="text1"/>
          <w:sz w:val="21"/>
          <w:szCs w:val="21"/>
        </w:rPr>
        <w:t>増減させることも可能となりました。従い、</w:t>
      </w:r>
      <w:r w:rsidRPr="001779F7">
        <w:rPr>
          <w:rFonts w:asciiTheme="minorEastAsia" w:hAnsiTheme="minorEastAsia" w:cs="Times New Roman" w:hint="eastAsia"/>
          <w:color w:val="000000" w:themeColor="text1"/>
          <w:sz w:val="21"/>
          <w:szCs w:val="21"/>
        </w:rPr>
        <w:t>今後の経済状況次第で、３%</w:t>
      </w:r>
      <w:r w:rsidRPr="001779F7">
        <w:rPr>
          <w:rFonts w:asciiTheme="minorEastAsia" w:hAnsiTheme="minorEastAsia" w:cs="Times New Roman"/>
          <w:color w:val="000000" w:themeColor="text1"/>
          <w:sz w:val="21"/>
          <w:szCs w:val="21"/>
        </w:rPr>
        <w:t xml:space="preserve"> </w:t>
      </w:r>
      <w:r w:rsidRPr="001779F7">
        <w:rPr>
          <w:rFonts w:asciiTheme="minorEastAsia" w:hAnsiTheme="minorEastAsia" w:cs="Times New Roman" w:hint="eastAsia"/>
          <w:color w:val="000000" w:themeColor="text1"/>
          <w:sz w:val="21"/>
          <w:szCs w:val="21"/>
        </w:rPr>
        <w:t>を下回る、</w:t>
      </w:r>
      <w:r w:rsidR="004D3A13">
        <w:rPr>
          <w:rFonts w:asciiTheme="minorEastAsia" w:hAnsiTheme="minorEastAsia" w:cs="Times New Roman" w:hint="eastAsia"/>
          <w:color w:val="000000" w:themeColor="text1"/>
          <w:sz w:val="21"/>
          <w:szCs w:val="21"/>
        </w:rPr>
        <w:t>或いは</w:t>
      </w:r>
      <w:r w:rsidRPr="001779F7">
        <w:rPr>
          <w:rFonts w:asciiTheme="minorEastAsia" w:hAnsiTheme="minorEastAsia" w:cs="Times New Roman" w:hint="eastAsia"/>
          <w:color w:val="000000" w:themeColor="text1"/>
          <w:sz w:val="21"/>
          <w:szCs w:val="21"/>
        </w:rPr>
        <w:t>上回ること場合もあり得ます。</w:t>
      </w:r>
    </w:p>
    <w:p w14:paraId="2A2EE724" w14:textId="7597D39A" w:rsidR="00C60210" w:rsidRPr="001779F7" w:rsidRDefault="004D3A13" w:rsidP="001779F7">
      <w:pPr>
        <w:spacing w:after="120" w:line="0" w:lineRule="atLeast"/>
        <w:jc w:val="both"/>
        <w:rPr>
          <w:rFonts w:asciiTheme="minorEastAsia" w:hAnsiTheme="minorEastAsia" w:cs="Times New Roman"/>
          <w:color w:val="000000" w:themeColor="text1"/>
          <w:sz w:val="21"/>
          <w:szCs w:val="21"/>
        </w:rPr>
      </w:pPr>
      <w:r>
        <w:rPr>
          <w:rFonts w:asciiTheme="minorEastAsia" w:hAnsiTheme="minorEastAsia" w:cs="Times New Roman" w:hint="eastAsia"/>
          <w:color w:val="000000" w:themeColor="text1"/>
          <w:sz w:val="21"/>
          <w:szCs w:val="21"/>
        </w:rPr>
        <w:t>また、</w:t>
      </w:r>
      <w:r w:rsidR="00C60210" w:rsidRPr="001779F7">
        <w:rPr>
          <w:rFonts w:asciiTheme="minorEastAsia" w:hAnsiTheme="minorEastAsia" w:cs="Times New Roman" w:hint="eastAsia"/>
          <w:color w:val="000000" w:themeColor="text1"/>
          <w:sz w:val="21"/>
          <w:szCs w:val="21"/>
        </w:rPr>
        <w:t>金銭債務の不履行の場合、不履行以降から</w:t>
      </w:r>
      <w:r>
        <w:rPr>
          <w:rFonts w:asciiTheme="minorEastAsia" w:hAnsiTheme="minorEastAsia" w:cs="Times New Roman" w:hint="eastAsia"/>
          <w:color w:val="000000" w:themeColor="text1"/>
          <w:sz w:val="21"/>
          <w:szCs w:val="21"/>
        </w:rPr>
        <w:t>返済</w:t>
      </w:r>
      <w:r w:rsidR="00C60210" w:rsidRPr="001779F7">
        <w:rPr>
          <w:rFonts w:asciiTheme="minorEastAsia" w:hAnsiTheme="minorEastAsia" w:cs="Times New Roman" w:hint="eastAsia"/>
          <w:color w:val="000000" w:themeColor="text1"/>
          <w:sz w:val="21"/>
          <w:szCs w:val="21"/>
        </w:rPr>
        <w:t>まで</w:t>
      </w:r>
      <w:r>
        <w:rPr>
          <w:rFonts w:asciiTheme="minorEastAsia" w:hAnsiTheme="minorEastAsia" w:cs="Times New Roman" w:hint="eastAsia"/>
          <w:color w:val="000000" w:themeColor="text1"/>
          <w:sz w:val="21"/>
          <w:szCs w:val="21"/>
        </w:rPr>
        <w:t>の間の法定遅延損害金利は</w:t>
      </w:r>
      <w:r w:rsidR="00C60210" w:rsidRPr="001779F7">
        <w:rPr>
          <w:rFonts w:asciiTheme="minorEastAsia" w:hAnsiTheme="minorEastAsia" w:cs="Times New Roman" w:hint="eastAsia"/>
          <w:color w:val="000000" w:themeColor="text1"/>
          <w:sz w:val="21"/>
          <w:szCs w:val="21"/>
        </w:rPr>
        <w:t>、上記の</w:t>
      </w:r>
      <w:r w:rsidR="002F7E30" w:rsidRPr="001779F7">
        <w:rPr>
          <w:rFonts w:asciiTheme="minorEastAsia" w:hAnsiTheme="minorEastAsia" w:cs="Times New Roman" w:hint="eastAsia"/>
          <w:color w:val="000000" w:themeColor="text1"/>
          <w:sz w:val="21"/>
          <w:szCs w:val="21"/>
        </w:rPr>
        <w:t>法定</w:t>
      </w:r>
      <w:r w:rsidR="00C60210" w:rsidRPr="001779F7">
        <w:rPr>
          <w:rFonts w:asciiTheme="minorEastAsia" w:hAnsiTheme="minorEastAsia" w:cs="Times New Roman" w:hint="eastAsia"/>
          <w:color w:val="000000" w:themeColor="text1"/>
          <w:sz w:val="21"/>
          <w:szCs w:val="21"/>
        </w:rPr>
        <w:t>金利＋2%</w:t>
      </w:r>
      <w:r>
        <w:rPr>
          <w:rFonts w:asciiTheme="minorEastAsia" w:hAnsiTheme="minorEastAsia" w:cs="Times New Roman" w:hint="eastAsia"/>
          <w:color w:val="000000" w:themeColor="text1"/>
          <w:sz w:val="21"/>
          <w:szCs w:val="21"/>
        </w:rPr>
        <w:t>と規定されました。従い、</w:t>
      </w:r>
      <w:r w:rsidR="00C60210" w:rsidRPr="001779F7">
        <w:rPr>
          <w:rFonts w:asciiTheme="minorEastAsia" w:hAnsiTheme="minorEastAsia" w:cs="Times New Roman" w:hint="eastAsia"/>
          <w:color w:val="000000" w:themeColor="text1"/>
          <w:sz w:val="21"/>
          <w:szCs w:val="21"/>
        </w:rPr>
        <w:t>法定金利が3%だとすると、</w:t>
      </w:r>
      <w:r w:rsidR="00DE7F43" w:rsidRPr="001779F7">
        <w:rPr>
          <w:rFonts w:asciiTheme="minorEastAsia" w:hAnsiTheme="minorEastAsia" w:cs="Times New Roman" w:hint="eastAsia"/>
          <w:color w:val="000000" w:themeColor="text1"/>
          <w:sz w:val="21"/>
          <w:szCs w:val="21"/>
        </w:rPr>
        <w:t>法定</w:t>
      </w:r>
      <w:r w:rsidR="00C60210" w:rsidRPr="001779F7">
        <w:rPr>
          <w:rFonts w:asciiTheme="minorEastAsia" w:hAnsiTheme="minorEastAsia" w:cs="Times New Roman" w:hint="eastAsia"/>
          <w:color w:val="000000" w:themeColor="text1"/>
          <w:sz w:val="21"/>
          <w:szCs w:val="21"/>
        </w:rPr>
        <w:t>遅延損害</w:t>
      </w:r>
      <w:r>
        <w:rPr>
          <w:rFonts w:asciiTheme="minorEastAsia" w:hAnsiTheme="minorEastAsia" w:cs="Times New Roman" w:hint="eastAsia"/>
          <w:color w:val="000000" w:themeColor="text1"/>
          <w:sz w:val="21"/>
          <w:szCs w:val="21"/>
        </w:rPr>
        <w:t>金利</w:t>
      </w:r>
      <w:r w:rsidR="00DE7F43" w:rsidRPr="001779F7">
        <w:rPr>
          <w:rFonts w:asciiTheme="minorEastAsia" w:hAnsiTheme="minorEastAsia" w:cs="Times New Roman" w:hint="eastAsia"/>
          <w:color w:val="000000" w:themeColor="text1"/>
          <w:sz w:val="21"/>
          <w:szCs w:val="21"/>
        </w:rPr>
        <w:t>は5％となります。</w:t>
      </w:r>
      <w:r w:rsidR="00C60210" w:rsidRPr="001779F7">
        <w:rPr>
          <w:rFonts w:asciiTheme="minorEastAsia" w:hAnsiTheme="minorEastAsia" w:cs="Times New Roman" w:hint="eastAsia"/>
          <w:color w:val="000000" w:themeColor="text1"/>
          <w:sz w:val="21"/>
          <w:szCs w:val="21"/>
        </w:rPr>
        <w:t>これは、金銭</w:t>
      </w:r>
      <w:r w:rsidR="002F7E30" w:rsidRPr="001779F7">
        <w:rPr>
          <w:rFonts w:asciiTheme="minorEastAsia" w:hAnsiTheme="minorEastAsia" w:cs="Times New Roman" w:hint="eastAsia"/>
          <w:color w:val="000000" w:themeColor="text1"/>
          <w:sz w:val="21"/>
          <w:szCs w:val="21"/>
        </w:rPr>
        <w:t>消費貸借</w:t>
      </w:r>
      <w:r w:rsidR="00216A55" w:rsidRPr="001779F7">
        <w:rPr>
          <w:rFonts w:asciiTheme="minorEastAsia" w:hAnsiTheme="minorEastAsia" w:cs="Times New Roman" w:hint="eastAsia"/>
          <w:color w:val="000000" w:themeColor="text1"/>
          <w:sz w:val="21"/>
          <w:szCs w:val="21"/>
        </w:rPr>
        <w:t>の場合に限定されず、</w:t>
      </w:r>
      <w:r w:rsidR="002F7E30" w:rsidRPr="001779F7">
        <w:rPr>
          <w:rFonts w:asciiTheme="minorEastAsia" w:hAnsiTheme="minorEastAsia" w:cs="Times New Roman" w:hint="eastAsia"/>
          <w:color w:val="000000" w:themeColor="text1"/>
          <w:sz w:val="21"/>
          <w:szCs w:val="21"/>
        </w:rPr>
        <w:t>金銭債務全般に</w:t>
      </w:r>
      <w:r w:rsidR="00DE7F43" w:rsidRPr="001779F7">
        <w:rPr>
          <w:rFonts w:asciiTheme="minorEastAsia" w:hAnsiTheme="minorEastAsia" w:cs="Times New Roman" w:hint="eastAsia"/>
          <w:color w:val="000000" w:themeColor="text1"/>
          <w:sz w:val="21"/>
          <w:szCs w:val="21"/>
        </w:rPr>
        <w:t>適用されるため、</w:t>
      </w:r>
      <w:r w:rsidR="00C60210" w:rsidRPr="001779F7">
        <w:rPr>
          <w:rFonts w:asciiTheme="minorEastAsia" w:hAnsiTheme="minorEastAsia" w:cs="Times New Roman" w:hint="eastAsia"/>
          <w:color w:val="000000" w:themeColor="text1"/>
          <w:sz w:val="21"/>
          <w:szCs w:val="21"/>
        </w:rPr>
        <w:t>契約違反や不法行為による損害賠償債務にも適用されると考えれます。今後の</w:t>
      </w:r>
      <w:r>
        <w:rPr>
          <w:rFonts w:asciiTheme="minorEastAsia" w:hAnsiTheme="minorEastAsia" w:cs="Times New Roman" w:hint="eastAsia"/>
          <w:color w:val="000000" w:themeColor="text1"/>
          <w:sz w:val="21"/>
          <w:szCs w:val="21"/>
        </w:rPr>
        <w:t>判例や</w:t>
      </w:r>
      <w:r w:rsidR="00C60210" w:rsidRPr="001779F7">
        <w:rPr>
          <w:rFonts w:asciiTheme="minorEastAsia" w:hAnsiTheme="minorEastAsia" w:cs="Times New Roman" w:hint="eastAsia"/>
          <w:color w:val="000000" w:themeColor="text1"/>
          <w:sz w:val="21"/>
          <w:szCs w:val="21"/>
        </w:rPr>
        <w:t>当局による解説により、この点は</w:t>
      </w:r>
      <w:r>
        <w:rPr>
          <w:rFonts w:asciiTheme="minorEastAsia" w:hAnsiTheme="minorEastAsia" w:cs="Times New Roman" w:hint="eastAsia"/>
          <w:color w:val="000000" w:themeColor="text1"/>
          <w:sz w:val="21"/>
          <w:szCs w:val="21"/>
        </w:rPr>
        <w:t>明らかになる</w:t>
      </w:r>
      <w:r w:rsidR="00C60210" w:rsidRPr="001779F7">
        <w:rPr>
          <w:rFonts w:asciiTheme="minorEastAsia" w:hAnsiTheme="minorEastAsia" w:cs="Times New Roman" w:hint="eastAsia"/>
          <w:color w:val="000000" w:themeColor="text1"/>
          <w:sz w:val="21"/>
          <w:szCs w:val="21"/>
        </w:rPr>
        <w:t>ことでしょう。</w:t>
      </w:r>
    </w:p>
    <w:p w14:paraId="3C40C69E" w14:textId="1D6E4664" w:rsidR="00C60210" w:rsidRPr="001779F7" w:rsidRDefault="00C60210" w:rsidP="001779F7">
      <w:pPr>
        <w:spacing w:after="120" w:line="0" w:lineRule="atLeast"/>
        <w:jc w:val="both"/>
        <w:rPr>
          <w:rFonts w:asciiTheme="minorEastAsia" w:hAnsiTheme="minorEastAsia" w:cs="Times New Roman"/>
          <w:color w:val="000000" w:themeColor="text1"/>
          <w:sz w:val="21"/>
          <w:szCs w:val="21"/>
        </w:rPr>
      </w:pPr>
      <w:r w:rsidRPr="001779F7">
        <w:rPr>
          <w:rFonts w:asciiTheme="minorEastAsia" w:hAnsiTheme="minorEastAsia" w:cs="Times New Roman" w:hint="eastAsia"/>
          <w:color w:val="000000" w:themeColor="text1"/>
          <w:sz w:val="21"/>
          <w:szCs w:val="21"/>
        </w:rPr>
        <w:t>また、分割金銭債務について、不履行中に生じる</w:t>
      </w:r>
      <w:r w:rsidR="00216A55" w:rsidRPr="001779F7">
        <w:rPr>
          <w:rFonts w:asciiTheme="minorEastAsia" w:hAnsiTheme="minorEastAsia" w:cs="Times New Roman" w:hint="eastAsia"/>
          <w:color w:val="000000" w:themeColor="text1"/>
          <w:sz w:val="21"/>
          <w:szCs w:val="21"/>
        </w:rPr>
        <w:t>金利</w:t>
      </w:r>
      <w:r w:rsidR="004D3A13">
        <w:rPr>
          <w:rFonts w:asciiTheme="minorEastAsia" w:hAnsiTheme="minorEastAsia" w:cs="Times New Roman" w:hint="eastAsia"/>
          <w:color w:val="000000" w:themeColor="text1"/>
          <w:sz w:val="21"/>
          <w:szCs w:val="21"/>
        </w:rPr>
        <w:t>を</w:t>
      </w:r>
      <w:r w:rsidRPr="001779F7">
        <w:rPr>
          <w:rFonts w:asciiTheme="minorEastAsia" w:hAnsiTheme="minorEastAsia" w:cs="Times New Roman" w:hint="eastAsia"/>
          <w:color w:val="000000" w:themeColor="text1"/>
          <w:sz w:val="21"/>
          <w:szCs w:val="21"/>
        </w:rPr>
        <w:t>元本に組み入れて計算すること、つまり複利計算</w:t>
      </w:r>
      <w:r w:rsidR="004D3A13">
        <w:rPr>
          <w:rFonts w:asciiTheme="minorEastAsia" w:hAnsiTheme="minorEastAsia" w:cs="Times New Roman" w:hint="eastAsia"/>
          <w:color w:val="000000" w:themeColor="text1"/>
          <w:sz w:val="21"/>
          <w:szCs w:val="21"/>
        </w:rPr>
        <w:t>を</w:t>
      </w:r>
      <w:r w:rsidRPr="001779F7">
        <w:rPr>
          <w:rFonts w:asciiTheme="minorEastAsia" w:hAnsiTheme="minorEastAsia" w:cs="Times New Roman" w:hint="eastAsia"/>
          <w:color w:val="000000" w:themeColor="text1"/>
          <w:sz w:val="21"/>
          <w:szCs w:val="21"/>
        </w:rPr>
        <w:t>すること</w:t>
      </w:r>
      <w:r w:rsidR="004D3A13">
        <w:rPr>
          <w:rFonts w:asciiTheme="minorEastAsia" w:hAnsiTheme="minorEastAsia" w:cs="Times New Roman" w:hint="eastAsia"/>
          <w:color w:val="000000" w:themeColor="text1"/>
          <w:sz w:val="21"/>
          <w:szCs w:val="21"/>
        </w:rPr>
        <w:t>の</w:t>
      </w:r>
      <w:r w:rsidRPr="001779F7">
        <w:rPr>
          <w:rFonts w:asciiTheme="minorEastAsia" w:hAnsiTheme="minorEastAsia" w:cs="Times New Roman" w:hint="eastAsia"/>
          <w:color w:val="000000" w:themeColor="text1"/>
          <w:sz w:val="21"/>
          <w:szCs w:val="21"/>
        </w:rPr>
        <w:t>禁止</w:t>
      </w:r>
      <w:r w:rsidR="004D3A13">
        <w:rPr>
          <w:rFonts w:asciiTheme="minorEastAsia" w:hAnsiTheme="minorEastAsia" w:cs="Times New Roman" w:hint="eastAsia"/>
          <w:color w:val="000000" w:themeColor="text1"/>
          <w:sz w:val="21"/>
          <w:szCs w:val="21"/>
        </w:rPr>
        <w:t>が</w:t>
      </w:r>
      <w:r w:rsidRPr="001779F7">
        <w:rPr>
          <w:rFonts w:asciiTheme="minorEastAsia" w:hAnsiTheme="minorEastAsia" w:cs="Times New Roman" w:hint="eastAsia"/>
          <w:color w:val="000000" w:themeColor="text1"/>
          <w:sz w:val="21"/>
          <w:szCs w:val="21"/>
        </w:rPr>
        <w:t>明文化されました。</w:t>
      </w:r>
      <w:r w:rsidR="00DE7F43" w:rsidRPr="001779F7">
        <w:rPr>
          <w:rFonts w:asciiTheme="minorEastAsia" w:hAnsiTheme="minorEastAsia" w:cs="Times New Roman" w:hint="eastAsia"/>
          <w:color w:val="000000" w:themeColor="text1"/>
          <w:sz w:val="21"/>
          <w:szCs w:val="21"/>
        </w:rPr>
        <w:t>従い、</w:t>
      </w:r>
      <w:r w:rsidRPr="001779F7">
        <w:rPr>
          <w:rFonts w:asciiTheme="minorEastAsia" w:hAnsiTheme="minorEastAsia" w:cs="Times New Roman" w:hint="eastAsia"/>
          <w:color w:val="000000" w:themeColor="text1"/>
          <w:sz w:val="21"/>
          <w:szCs w:val="21"/>
        </w:rPr>
        <w:t>そのような合意</w:t>
      </w:r>
      <w:r w:rsidR="00DE7F43" w:rsidRPr="001779F7">
        <w:rPr>
          <w:rFonts w:asciiTheme="minorEastAsia" w:hAnsiTheme="minorEastAsia" w:cs="Times New Roman" w:hint="eastAsia"/>
          <w:color w:val="000000" w:themeColor="text1"/>
          <w:sz w:val="21"/>
          <w:szCs w:val="21"/>
        </w:rPr>
        <w:t>があってもそれは</w:t>
      </w:r>
      <w:r w:rsidRPr="001779F7">
        <w:rPr>
          <w:rFonts w:asciiTheme="minorEastAsia" w:hAnsiTheme="minorEastAsia" w:cs="Times New Roman" w:hint="eastAsia"/>
          <w:color w:val="000000" w:themeColor="text1"/>
          <w:sz w:val="21"/>
          <w:szCs w:val="21"/>
        </w:rPr>
        <w:t>無効となります。</w:t>
      </w:r>
    </w:p>
    <w:p w14:paraId="601DAB86" w14:textId="12E1AA56" w:rsidR="001779F7" w:rsidRDefault="00DE7F43" w:rsidP="001779F7">
      <w:pPr>
        <w:pStyle w:val="Header"/>
        <w:tabs>
          <w:tab w:val="clear" w:pos="4680"/>
          <w:tab w:val="clear" w:pos="9360"/>
        </w:tabs>
        <w:spacing w:after="120" w:line="259" w:lineRule="auto"/>
        <w:rPr>
          <w:rFonts w:asciiTheme="minorEastAsia" w:hAnsiTheme="minorEastAsia" w:cs="Times New Roman"/>
          <w:sz w:val="21"/>
          <w:szCs w:val="21"/>
        </w:rPr>
      </w:pPr>
      <w:r w:rsidRPr="001779F7">
        <w:rPr>
          <w:rFonts w:asciiTheme="minorEastAsia" w:hAnsiTheme="minorEastAsia" w:cs="Times New Roman" w:hint="eastAsia"/>
          <w:sz w:val="21"/>
          <w:szCs w:val="21"/>
        </w:rPr>
        <w:t>この度の民商法典の</w:t>
      </w:r>
      <w:r w:rsidR="004D3A13">
        <w:rPr>
          <w:rFonts w:asciiTheme="minorEastAsia" w:hAnsiTheme="minorEastAsia" w:cs="Times New Roman" w:hint="eastAsia"/>
          <w:sz w:val="21"/>
          <w:szCs w:val="21"/>
        </w:rPr>
        <w:t>主な</w:t>
      </w:r>
      <w:r w:rsidRPr="001779F7">
        <w:rPr>
          <w:rFonts w:asciiTheme="minorEastAsia" w:hAnsiTheme="minorEastAsia" w:cs="Times New Roman" w:hint="eastAsia"/>
          <w:sz w:val="21"/>
          <w:szCs w:val="21"/>
        </w:rPr>
        <w:t>改正箇所は以下の通りになります。</w:t>
      </w:r>
    </w:p>
    <w:tbl>
      <w:tblPr>
        <w:tblStyle w:val="TableGrid"/>
        <w:tblW w:w="9355" w:type="dxa"/>
        <w:tblLook w:val="04A0" w:firstRow="1" w:lastRow="0" w:firstColumn="1" w:lastColumn="0" w:noHBand="0" w:noVBand="1"/>
      </w:tblPr>
      <w:tblGrid>
        <w:gridCol w:w="1342"/>
        <w:gridCol w:w="3241"/>
        <w:gridCol w:w="3242"/>
        <w:gridCol w:w="1530"/>
      </w:tblGrid>
      <w:tr w:rsidR="007C14CE" w:rsidRPr="001779F7" w14:paraId="6E9CBB80" w14:textId="6E38C256" w:rsidTr="00991549">
        <w:trPr>
          <w:trHeight w:val="350"/>
        </w:trPr>
        <w:tc>
          <w:tcPr>
            <w:tcW w:w="1342" w:type="dxa"/>
          </w:tcPr>
          <w:p w14:paraId="77D9272F" w14:textId="09526BD0" w:rsidR="00261ECF" w:rsidRPr="001779F7" w:rsidRDefault="00261ECF" w:rsidP="006B1757">
            <w:pPr>
              <w:spacing w:line="0" w:lineRule="atLeast"/>
              <w:jc w:val="center"/>
              <w:rPr>
                <w:rFonts w:asciiTheme="minorEastAsia" w:hAnsiTheme="minorEastAsia" w:cs="Times New Roman"/>
                <w:sz w:val="21"/>
                <w:szCs w:val="21"/>
              </w:rPr>
            </w:pPr>
          </w:p>
        </w:tc>
        <w:tc>
          <w:tcPr>
            <w:tcW w:w="3241" w:type="dxa"/>
            <w:vAlign w:val="center"/>
          </w:tcPr>
          <w:p w14:paraId="47CB7932" w14:textId="28C36882" w:rsidR="00261ECF" w:rsidRPr="001779F7" w:rsidRDefault="00DE7F43" w:rsidP="006B1757">
            <w:pPr>
              <w:spacing w:line="0" w:lineRule="atLeast"/>
              <w:jc w:val="center"/>
              <w:rPr>
                <w:rFonts w:asciiTheme="minorEastAsia" w:hAnsiTheme="minorEastAsia" w:cs="Times New Roman"/>
                <w:sz w:val="21"/>
                <w:szCs w:val="21"/>
              </w:rPr>
            </w:pPr>
            <w:r w:rsidRPr="001779F7">
              <w:rPr>
                <w:rFonts w:asciiTheme="minorEastAsia" w:hAnsiTheme="minorEastAsia" w:cs="Times New Roman" w:hint="eastAsia"/>
                <w:sz w:val="21"/>
                <w:szCs w:val="21"/>
              </w:rPr>
              <w:t>元来</w:t>
            </w:r>
          </w:p>
        </w:tc>
        <w:tc>
          <w:tcPr>
            <w:tcW w:w="3242" w:type="dxa"/>
            <w:vAlign w:val="center"/>
          </w:tcPr>
          <w:p w14:paraId="60C131B4" w14:textId="1C32C202" w:rsidR="00261ECF" w:rsidRPr="001779F7" w:rsidRDefault="00DE7F43" w:rsidP="006B1757">
            <w:pPr>
              <w:spacing w:line="0" w:lineRule="atLeast"/>
              <w:jc w:val="center"/>
              <w:rPr>
                <w:rFonts w:asciiTheme="minorEastAsia" w:hAnsiTheme="minorEastAsia" w:cs="Times New Roman"/>
                <w:sz w:val="21"/>
                <w:szCs w:val="21"/>
              </w:rPr>
            </w:pPr>
            <w:r w:rsidRPr="001779F7">
              <w:rPr>
                <w:rFonts w:asciiTheme="minorEastAsia" w:hAnsiTheme="minorEastAsia" w:cs="Times New Roman" w:hint="eastAsia"/>
                <w:sz w:val="21"/>
                <w:szCs w:val="21"/>
              </w:rPr>
              <w:t>新条文</w:t>
            </w:r>
          </w:p>
        </w:tc>
        <w:tc>
          <w:tcPr>
            <w:tcW w:w="1530" w:type="dxa"/>
            <w:vAlign w:val="center"/>
          </w:tcPr>
          <w:p w14:paraId="12845E59" w14:textId="6094E143" w:rsidR="00261ECF" w:rsidRPr="001779F7" w:rsidRDefault="00DE7F43" w:rsidP="006B1757">
            <w:pPr>
              <w:spacing w:line="0" w:lineRule="atLeast"/>
              <w:jc w:val="center"/>
              <w:rPr>
                <w:rFonts w:asciiTheme="minorEastAsia" w:hAnsiTheme="minorEastAsia" w:cs="Times New Roman"/>
                <w:sz w:val="21"/>
                <w:szCs w:val="21"/>
              </w:rPr>
            </w:pPr>
            <w:r w:rsidRPr="001779F7">
              <w:rPr>
                <w:rFonts w:asciiTheme="minorEastAsia" w:hAnsiTheme="minorEastAsia" w:cs="Times New Roman" w:hint="eastAsia"/>
                <w:sz w:val="21"/>
                <w:szCs w:val="21"/>
              </w:rPr>
              <w:t>適用日</w:t>
            </w:r>
          </w:p>
        </w:tc>
      </w:tr>
      <w:tr w:rsidR="007C14CE" w:rsidRPr="001779F7" w14:paraId="61933E4D" w14:textId="73FAFD92" w:rsidTr="00991549">
        <w:trPr>
          <w:trHeight w:val="5399"/>
        </w:trPr>
        <w:tc>
          <w:tcPr>
            <w:tcW w:w="1342" w:type="dxa"/>
          </w:tcPr>
          <w:p w14:paraId="0DD21A09" w14:textId="5A83229C" w:rsidR="00261ECF" w:rsidRPr="001779F7" w:rsidRDefault="007734DC" w:rsidP="006B1757">
            <w:pPr>
              <w:spacing w:line="0" w:lineRule="atLeast"/>
              <w:rPr>
                <w:rFonts w:asciiTheme="minorEastAsia" w:hAnsiTheme="minorEastAsia" w:cs="Times New Roman"/>
                <w:sz w:val="21"/>
                <w:szCs w:val="21"/>
              </w:rPr>
            </w:pPr>
            <w:r w:rsidRPr="001779F7">
              <w:rPr>
                <w:rFonts w:asciiTheme="minorEastAsia" w:hAnsiTheme="minorEastAsia" w:cs="Times New Roman" w:hint="eastAsia"/>
                <w:sz w:val="21"/>
                <w:szCs w:val="21"/>
              </w:rPr>
              <w:t>金利が明記されていない場合</w:t>
            </w:r>
          </w:p>
        </w:tc>
        <w:tc>
          <w:tcPr>
            <w:tcW w:w="3241" w:type="dxa"/>
          </w:tcPr>
          <w:p w14:paraId="2DA93E9A" w14:textId="413ED97C" w:rsidR="00216A55" w:rsidRPr="001779F7" w:rsidRDefault="00216A55" w:rsidP="006B1757">
            <w:pPr>
              <w:spacing w:line="0" w:lineRule="atLeast"/>
              <w:rPr>
                <w:rFonts w:asciiTheme="minorEastAsia" w:hAnsiTheme="minorEastAsia" w:cs="Times New Roman"/>
                <w:sz w:val="21"/>
                <w:szCs w:val="21"/>
              </w:rPr>
            </w:pPr>
            <w:r w:rsidRPr="001779F7">
              <w:rPr>
                <w:rFonts w:asciiTheme="minorEastAsia" w:hAnsiTheme="minorEastAsia" w:cs="Times New Roman" w:hint="eastAsia"/>
                <w:sz w:val="21"/>
                <w:szCs w:val="21"/>
              </w:rPr>
              <w:t>第7条：利息の支払いが必要</w:t>
            </w:r>
            <w:r w:rsidR="003C2D90">
              <w:rPr>
                <w:rFonts w:asciiTheme="minorEastAsia" w:hAnsiTheme="minorEastAsia" w:cs="Times New Roman" w:hint="eastAsia"/>
                <w:sz w:val="21"/>
                <w:szCs w:val="21"/>
              </w:rPr>
              <w:t>な</w:t>
            </w:r>
            <w:r w:rsidRPr="001779F7">
              <w:rPr>
                <w:rFonts w:asciiTheme="minorEastAsia" w:hAnsiTheme="minorEastAsia" w:cs="Times New Roman" w:hint="eastAsia"/>
                <w:sz w:val="21"/>
                <w:szCs w:val="21"/>
              </w:rPr>
              <w:t>場合、その率が法律行為</w:t>
            </w:r>
            <w:r w:rsidR="003C2D90">
              <w:rPr>
                <w:rFonts w:asciiTheme="minorEastAsia" w:hAnsiTheme="minorEastAsia" w:cs="Times New Roman" w:hint="eastAsia"/>
                <w:sz w:val="21"/>
                <w:szCs w:val="21"/>
              </w:rPr>
              <w:t>、</w:t>
            </w:r>
            <w:r w:rsidR="00223891" w:rsidRPr="001779F7">
              <w:rPr>
                <w:rFonts w:asciiTheme="minorEastAsia" w:hAnsiTheme="minorEastAsia" w:cs="Times New Roman" w:hint="eastAsia"/>
                <w:sz w:val="21"/>
                <w:szCs w:val="21"/>
              </w:rPr>
              <w:t>また法律の条文上</w:t>
            </w:r>
            <w:r w:rsidR="00683448">
              <w:rPr>
                <w:rFonts w:asciiTheme="minorEastAsia" w:hAnsiTheme="minorEastAsia" w:cs="Times New Roman" w:hint="eastAsia"/>
                <w:sz w:val="21"/>
                <w:szCs w:val="21"/>
              </w:rPr>
              <w:t>、明確に</w:t>
            </w:r>
            <w:r w:rsidR="003C2D90">
              <w:rPr>
                <w:rFonts w:asciiTheme="minorEastAsia" w:hAnsiTheme="minorEastAsia" w:cs="Times New Roman" w:hint="eastAsia"/>
                <w:sz w:val="21"/>
                <w:szCs w:val="21"/>
              </w:rPr>
              <w:t>定められていない</w:t>
            </w:r>
            <w:r w:rsidR="00223891" w:rsidRPr="001779F7">
              <w:rPr>
                <w:rFonts w:asciiTheme="minorEastAsia" w:hAnsiTheme="minorEastAsia" w:cs="Times New Roman" w:hint="eastAsia"/>
                <w:sz w:val="21"/>
                <w:szCs w:val="21"/>
              </w:rPr>
              <w:t>場合、それは年間7.5％とする。</w:t>
            </w:r>
          </w:p>
          <w:p w14:paraId="289B6444" w14:textId="3FC4CB10" w:rsidR="00261ECF" w:rsidRPr="001779F7" w:rsidRDefault="00261ECF" w:rsidP="006B1757">
            <w:pPr>
              <w:spacing w:line="0" w:lineRule="atLeast"/>
              <w:rPr>
                <w:rFonts w:asciiTheme="minorEastAsia" w:hAnsiTheme="minorEastAsia" w:cs="Times New Roman"/>
                <w:sz w:val="21"/>
                <w:szCs w:val="21"/>
              </w:rPr>
            </w:pPr>
          </w:p>
        </w:tc>
        <w:tc>
          <w:tcPr>
            <w:tcW w:w="3242" w:type="dxa"/>
          </w:tcPr>
          <w:p w14:paraId="3372C2CA" w14:textId="47FE9303" w:rsidR="00223891" w:rsidRDefault="00223891" w:rsidP="006B1757">
            <w:pPr>
              <w:spacing w:line="0" w:lineRule="atLeast"/>
              <w:rPr>
                <w:rFonts w:asciiTheme="minorEastAsia" w:hAnsiTheme="minorEastAsia" w:cs="Times New Roman"/>
                <w:sz w:val="21"/>
                <w:szCs w:val="21"/>
              </w:rPr>
            </w:pPr>
            <w:r w:rsidRPr="001779F7">
              <w:rPr>
                <w:rFonts w:asciiTheme="minorEastAsia" w:hAnsiTheme="minorEastAsia" w:cs="Times New Roman" w:hint="eastAsia"/>
                <w:sz w:val="21"/>
                <w:szCs w:val="21"/>
              </w:rPr>
              <w:t>第7条：利息の支払いが必要</w:t>
            </w:r>
            <w:r w:rsidR="00683448">
              <w:rPr>
                <w:rFonts w:asciiTheme="minorEastAsia" w:hAnsiTheme="minorEastAsia" w:cs="Times New Roman" w:hint="eastAsia"/>
                <w:sz w:val="21"/>
                <w:szCs w:val="21"/>
              </w:rPr>
              <w:t>な</w:t>
            </w:r>
            <w:r w:rsidRPr="001779F7">
              <w:rPr>
                <w:rFonts w:asciiTheme="minorEastAsia" w:hAnsiTheme="minorEastAsia" w:cs="Times New Roman" w:hint="eastAsia"/>
                <w:sz w:val="21"/>
                <w:szCs w:val="21"/>
              </w:rPr>
              <w:t>場合、その率が法律行為</w:t>
            </w:r>
            <w:r w:rsidR="00683448">
              <w:rPr>
                <w:rFonts w:asciiTheme="minorEastAsia" w:hAnsiTheme="minorEastAsia" w:cs="Times New Roman" w:hint="eastAsia"/>
                <w:sz w:val="21"/>
                <w:szCs w:val="21"/>
              </w:rPr>
              <w:t>、</w:t>
            </w:r>
            <w:r w:rsidRPr="001779F7">
              <w:rPr>
                <w:rFonts w:asciiTheme="minorEastAsia" w:hAnsiTheme="minorEastAsia" w:cs="Times New Roman" w:hint="eastAsia"/>
                <w:sz w:val="21"/>
                <w:szCs w:val="21"/>
              </w:rPr>
              <w:t>または法律の条文上、明確</w:t>
            </w:r>
            <w:r w:rsidR="00683448">
              <w:rPr>
                <w:rFonts w:asciiTheme="minorEastAsia" w:hAnsiTheme="minorEastAsia" w:cs="Times New Roman" w:hint="eastAsia"/>
                <w:sz w:val="21"/>
                <w:szCs w:val="21"/>
              </w:rPr>
              <w:t>に定められていない</w:t>
            </w:r>
            <w:r w:rsidRPr="001779F7">
              <w:rPr>
                <w:rFonts w:asciiTheme="minorEastAsia" w:hAnsiTheme="minorEastAsia" w:cs="Times New Roman" w:hint="eastAsia"/>
                <w:sz w:val="21"/>
                <w:szCs w:val="21"/>
              </w:rPr>
              <w:t>場合、それ</w:t>
            </w:r>
            <w:r w:rsidR="00683448">
              <w:rPr>
                <w:rFonts w:asciiTheme="minorEastAsia" w:hAnsiTheme="minorEastAsia" w:cs="Times New Roman" w:hint="eastAsia"/>
                <w:sz w:val="21"/>
                <w:szCs w:val="21"/>
              </w:rPr>
              <w:t>は</w:t>
            </w:r>
            <w:r w:rsidRPr="001779F7">
              <w:rPr>
                <w:rFonts w:asciiTheme="minorEastAsia" w:hAnsiTheme="minorEastAsia" w:cs="Times New Roman" w:hint="eastAsia"/>
                <w:sz w:val="21"/>
                <w:szCs w:val="21"/>
              </w:rPr>
              <w:t>年間7.5％とする。</w:t>
            </w:r>
          </w:p>
          <w:p w14:paraId="0C5AB056" w14:textId="77777777" w:rsidR="00683448" w:rsidRPr="001779F7" w:rsidRDefault="00683448" w:rsidP="006B1757">
            <w:pPr>
              <w:spacing w:line="0" w:lineRule="atLeast"/>
              <w:rPr>
                <w:rFonts w:asciiTheme="minorEastAsia" w:hAnsiTheme="minorEastAsia" w:cs="Times New Roman"/>
                <w:sz w:val="21"/>
                <w:szCs w:val="21"/>
              </w:rPr>
            </w:pPr>
          </w:p>
          <w:p w14:paraId="503D7A8C" w14:textId="39568FD0" w:rsidR="00395BB2" w:rsidRPr="001779F7" w:rsidRDefault="00223891" w:rsidP="006B1757">
            <w:pPr>
              <w:spacing w:line="0" w:lineRule="atLeast"/>
              <w:rPr>
                <w:rFonts w:asciiTheme="minorEastAsia" w:hAnsiTheme="minorEastAsia" w:cs="Times New Roman"/>
                <w:sz w:val="21"/>
                <w:szCs w:val="21"/>
              </w:rPr>
            </w:pPr>
            <w:r w:rsidRPr="001779F7">
              <w:rPr>
                <w:rFonts w:asciiTheme="minorEastAsia" w:hAnsiTheme="minorEastAsia" w:cs="Times New Roman" w:hint="eastAsia"/>
                <w:sz w:val="21"/>
                <w:szCs w:val="21"/>
              </w:rPr>
              <w:t>第一項にある率は、国の経済状態に適するよう、勅令の施行により増減</w:t>
            </w:r>
            <w:r w:rsidR="00683448">
              <w:rPr>
                <w:rFonts w:asciiTheme="minorEastAsia" w:hAnsiTheme="minorEastAsia" w:cs="Times New Roman" w:hint="eastAsia"/>
                <w:sz w:val="21"/>
                <w:szCs w:val="21"/>
              </w:rPr>
              <w:t>させる</w:t>
            </w:r>
            <w:r w:rsidRPr="001779F7">
              <w:rPr>
                <w:rFonts w:asciiTheme="minorEastAsia" w:hAnsiTheme="minorEastAsia" w:cs="Times New Roman" w:hint="eastAsia"/>
                <w:sz w:val="21"/>
                <w:szCs w:val="21"/>
              </w:rPr>
              <w:t>ことができる。</w:t>
            </w:r>
            <w:r w:rsidR="00F0290E" w:rsidRPr="001779F7">
              <w:rPr>
                <w:rFonts w:asciiTheme="minorEastAsia" w:hAnsiTheme="minorEastAsia" w:cs="Times New Roman" w:hint="eastAsia"/>
                <w:sz w:val="21"/>
                <w:szCs w:val="21"/>
              </w:rPr>
              <w:t>原則的に、</w:t>
            </w:r>
            <w:r w:rsidRPr="001779F7">
              <w:rPr>
                <w:rFonts w:asciiTheme="minorEastAsia" w:hAnsiTheme="minorEastAsia" w:cs="Times New Roman" w:hint="eastAsia"/>
                <w:sz w:val="21"/>
                <w:szCs w:val="21"/>
              </w:rPr>
              <w:t>財務省は</w:t>
            </w:r>
            <w:r w:rsidR="00F0290E" w:rsidRPr="001779F7">
              <w:rPr>
                <w:rFonts w:asciiTheme="minorEastAsia" w:hAnsiTheme="minorEastAsia" w:cs="Times New Roman" w:hint="eastAsia"/>
                <w:sz w:val="21"/>
                <w:szCs w:val="21"/>
              </w:rPr>
              <w:t>、それ</w:t>
            </w:r>
            <w:r w:rsidR="00683448">
              <w:rPr>
                <w:rFonts w:asciiTheme="minorEastAsia" w:hAnsiTheme="minorEastAsia" w:cs="Times New Roman" w:hint="eastAsia"/>
                <w:sz w:val="21"/>
                <w:szCs w:val="21"/>
              </w:rPr>
              <w:t>を</w:t>
            </w:r>
            <w:r w:rsidR="00F0290E" w:rsidRPr="001779F7">
              <w:rPr>
                <w:rFonts w:asciiTheme="minorEastAsia" w:hAnsiTheme="minorEastAsia" w:cs="Times New Roman" w:hint="eastAsia"/>
                <w:sz w:val="21"/>
                <w:szCs w:val="21"/>
              </w:rPr>
              <w:t>可能な限り商業銀行の預金金利と貸出金利の間になるべく</w:t>
            </w:r>
            <w:r w:rsidR="00683448">
              <w:rPr>
                <w:rFonts w:asciiTheme="minorEastAsia" w:hAnsiTheme="minorEastAsia" w:cs="Times New Roman" w:hint="eastAsia"/>
                <w:sz w:val="21"/>
                <w:szCs w:val="21"/>
              </w:rPr>
              <w:t>、</w:t>
            </w:r>
            <w:r w:rsidRPr="001779F7">
              <w:rPr>
                <w:rFonts w:asciiTheme="minorEastAsia" w:hAnsiTheme="minorEastAsia" w:cs="Times New Roman" w:hint="eastAsia"/>
                <w:sz w:val="21"/>
                <w:szCs w:val="21"/>
              </w:rPr>
              <w:t>当該金利を三年毎に考査</w:t>
            </w:r>
            <w:r w:rsidR="00F0290E" w:rsidRPr="001779F7">
              <w:rPr>
                <w:rFonts w:asciiTheme="minorEastAsia" w:hAnsiTheme="minorEastAsia" w:cs="Times New Roman" w:hint="eastAsia"/>
                <w:sz w:val="21"/>
                <w:szCs w:val="21"/>
              </w:rPr>
              <w:t>する。</w:t>
            </w:r>
          </w:p>
        </w:tc>
        <w:tc>
          <w:tcPr>
            <w:tcW w:w="1530" w:type="dxa"/>
          </w:tcPr>
          <w:p w14:paraId="7EDEAD8A" w14:textId="1EAA3D9B" w:rsidR="00F0290E" w:rsidRPr="001779F7" w:rsidRDefault="00F0290E" w:rsidP="006B1757">
            <w:pPr>
              <w:spacing w:line="0" w:lineRule="atLeast"/>
              <w:ind w:left="61"/>
              <w:rPr>
                <w:rFonts w:asciiTheme="minorEastAsia" w:hAnsiTheme="minorEastAsia" w:cs="Times New Roman"/>
                <w:sz w:val="21"/>
                <w:szCs w:val="21"/>
              </w:rPr>
            </w:pPr>
            <w:r w:rsidRPr="001779F7">
              <w:rPr>
                <w:rFonts w:asciiTheme="minorEastAsia" w:hAnsiTheme="minorEastAsia" w:cs="Times New Roman" w:hint="eastAsia"/>
                <w:sz w:val="21"/>
                <w:szCs w:val="21"/>
              </w:rPr>
              <w:t>2021年4月11日以降の利息計算に適用</w:t>
            </w:r>
          </w:p>
        </w:tc>
      </w:tr>
      <w:tr w:rsidR="007C14CE" w:rsidRPr="001779F7" w14:paraId="0CB884F9" w14:textId="5494EF70" w:rsidTr="00991549">
        <w:trPr>
          <w:trHeight w:val="4130"/>
        </w:trPr>
        <w:tc>
          <w:tcPr>
            <w:tcW w:w="1342" w:type="dxa"/>
          </w:tcPr>
          <w:p w14:paraId="68C9E9F6" w14:textId="47B8F180" w:rsidR="00F0290E" w:rsidRPr="001779F7" w:rsidRDefault="00F0290E" w:rsidP="006B1757">
            <w:pPr>
              <w:spacing w:line="0" w:lineRule="atLeast"/>
              <w:rPr>
                <w:rFonts w:asciiTheme="minorEastAsia" w:hAnsiTheme="minorEastAsia" w:cs="Times New Roman"/>
                <w:sz w:val="21"/>
                <w:szCs w:val="21"/>
              </w:rPr>
            </w:pPr>
            <w:r w:rsidRPr="001779F7">
              <w:rPr>
                <w:rFonts w:asciiTheme="minorEastAsia" w:hAnsiTheme="minorEastAsia" w:cs="Times New Roman" w:hint="eastAsia"/>
                <w:sz w:val="21"/>
                <w:szCs w:val="21"/>
              </w:rPr>
              <w:lastRenderedPageBreak/>
              <w:t>債務不履行の場合</w:t>
            </w:r>
          </w:p>
        </w:tc>
        <w:tc>
          <w:tcPr>
            <w:tcW w:w="3241" w:type="dxa"/>
          </w:tcPr>
          <w:p w14:paraId="0EB10F6C" w14:textId="59A9744C" w:rsidR="00F0290E" w:rsidRPr="001779F7" w:rsidRDefault="00F0290E" w:rsidP="006B1757">
            <w:pPr>
              <w:spacing w:line="0" w:lineRule="atLeast"/>
              <w:rPr>
                <w:rFonts w:asciiTheme="minorEastAsia" w:hAnsiTheme="minorEastAsia" w:cs="Times New Roman"/>
                <w:sz w:val="21"/>
                <w:szCs w:val="21"/>
              </w:rPr>
            </w:pPr>
            <w:r w:rsidRPr="001779F7">
              <w:rPr>
                <w:rFonts w:asciiTheme="minorEastAsia" w:hAnsiTheme="minorEastAsia" w:cs="Times New Roman" w:hint="eastAsia"/>
                <w:sz w:val="21"/>
                <w:szCs w:val="21"/>
              </w:rPr>
              <w:t>第224条：金銭債務の不履行期間中の金利は</w:t>
            </w:r>
            <w:r w:rsidR="003A6963">
              <w:rPr>
                <w:rFonts w:asciiTheme="minorEastAsia" w:hAnsiTheme="minorEastAsia" w:cs="Times New Roman" w:hint="eastAsia"/>
                <w:sz w:val="21"/>
                <w:szCs w:val="21"/>
              </w:rPr>
              <w:t>年間</w:t>
            </w:r>
            <w:r w:rsidRPr="001779F7">
              <w:rPr>
                <w:rFonts w:asciiTheme="minorEastAsia" w:hAnsiTheme="minorEastAsia" w:cs="Times New Roman" w:hint="eastAsia"/>
                <w:sz w:val="21"/>
                <w:szCs w:val="21"/>
              </w:rPr>
              <w:t>7.5％とする。債権者は、その他正当な根拠により、より高い金利を要求することができる場合、そ</w:t>
            </w:r>
            <w:r w:rsidR="001E2665" w:rsidRPr="001779F7">
              <w:rPr>
                <w:rFonts w:asciiTheme="minorEastAsia" w:hAnsiTheme="minorEastAsia" w:cs="Times New Roman" w:hint="eastAsia"/>
                <w:sz w:val="21"/>
                <w:szCs w:val="21"/>
              </w:rPr>
              <w:t>の支払い義務は存続する。</w:t>
            </w:r>
          </w:p>
          <w:p w14:paraId="36A82FB3" w14:textId="25CDAA70" w:rsidR="001E2665" w:rsidRPr="001779F7" w:rsidRDefault="001E2665" w:rsidP="006B1757">
            <w:pPr>
              <w:spacing w:line="0" w:lineRule="atLeast"/>
              <w:rPr>
                <w:rFonts w:asciiTheme="minorEastAsia" w:hAnsiTheme="minorEastAsia" w:cs="Times New Roman"/>
                <w:sz w:val="21"/>
                <w:szCs w:val="21"/>
              </w:rPr>
            </w:pPr>
            <w:r w:rsidRPr="001779F7">
              <w:rPr>
                <w:rFonts w:asciiTheme="minorEastAsia" w:hAnsiTheme="minorEastAsia" w:cs="Times New Roman" w:hint="eastAsia"/>
                <w:sz w:val="21"/>
                <w:szCs w:val="21"/>
              </w:rPr>
              <w:t>不履行に対する金利に対</w:t>
            </w:r>
            <w:r w:rsidR="003A6963">
              <w:rPr>
                <w:rFonts w:asciiTheme="minorEastAsia" w:hAnsiTheme="minorEastAsia" w:cs="Times New Roman" w:hint="eastAsia"/>
                <w:sz w:val="21"/>
                <w:szCs w:val="21"/>
              </w:rPr>
              <w:t>する</w:t>
            </w:r>
            <w:r w:rsidRPr="001779F7">
              <w:rPr>
                <w:rFonts w:asciiTheme="minorEastAsia" w:hAnsiTheme="minorEastAsia" w:cs="Times New Roman" w:hint="eastAsia"/>
                <w:sz w:val="21"/>
                <w:szCs w:val="21"/>
              </w:rPr>
              <w:t>金利を支払ってはならない。</w:t>
            </w:r>
          </w:p>
          <w:p w14:paraId="632117B6" w14:textId="1842D71B" w:rsidR="001E2665" w:rsidRPr="001779F7" w:rsidRDefault="001E2665" w:rsidP="006B1757">
            <w:pPr>
              <w:spacing w:line="0" w:lineRule="atLeast"/>
              <w:rPr>
                <w:rFonts w:asciiTheme="minorEastAsia" w:hAnsiTheme="minorEastAsia" w:cs="Times New Roman"/>
                <w:sz w:val="21"/>
                <w:szCs w:val="21"/>
              </w:rPr>
            </w:pPr>
            <w:r w:rsidRPr="001779F7">
              <w:rPr>
                <w:rFonts w:asciiTheme="minorEastAsia" w:hAnsiTheme="minorEastAsia" w:cs="Times New Roman" w:hint="eastAsia"/>
                <w:sz w:val="21"/>
                <w:szCs w:val="21"/>
              </w:rPr>
              <w:t>追加的な損害の証拠は認められる。</w:t>
            </w:r>
          </w:p>
        </w:tc>
        <w:tc>
          <w:tcPr>
            <w:tcW w:w="3242" w:type="dxa"/>
          </w:tcPr>
          <w:p w14:paraId="231B70B7" w14:textId="77777777" w:rsidR="001E2665" w:rsidRPr="001779F7" w:rsidRDefault="001E2665" w:rsidP="006B1757">
            <w:pPr>
              <w:spacing w:line="0" w:lineRule="atLeast"/>
              <w:rPr>
                <w:rFonts w:asciiTheme="minorEastAsia" w:hAnsiTheme="minorEastAsia" w:cs="Times New Roman"/>
                <w:sz w:val="21"/>
                <w:szCs w:val="21"/>
              </w:rPr>
            </w:pPr>
            <w:r w:rsidRPr="001779F7">
              <w:rPr>
                <w:rFonts w:asciiTheme="minorEastAsia" w:hAnsiTheme="minorEastAsia" w:cs="Times New Roman" w:hint="eastAsia"/>
                <w:sz w:val="21"/>
                <w:szCs w:val="21"/>
              </w:rPr>
              <w:t>第224条：金銭債務は、不履行期間中、第7条に規定されている率に年利２％と加えた金利が発生する。債権者は、その他正当な根拠により、より高い金利を要求することができる場合、その支払い義務は存続する。</w:t>
            </w:r>
          </w:p>
          <w:p w14:paraId="54B5A0D5" w14:textId="77777777" w:rsidR="001E2665" w:rsidRPr="001779F7" w:rsidRDefault="001E2665" w:rsidP="006B1757">
            <w:pPr>
              <w:spacing w:line="0" w:lineRule="atLeast"/>
              <w:rPr>
                <w:rFonts w:asciiTheme="minorEastAsia" w:hAnsiTheme="minorEastAsia" w:cs="Times New Roman"/>
                <w:sz w:val="21"/>
                <w:szCs w:val="21"/>
              </w:rPr>
            </w:pPr>
            <w:r w:rsidRPr="001779F7">
              <w:rPr>
                <w:rFonts w:asciiTheme="minorEastAsia" w:hAnsiTheme="minorEastAsia" w:cs="Times New Roman" w:hint="eastAsia"/>
                <w:sz w:val="21"/>
                <w:szCs w:val="21"/>
              </w:rPr>
              <w:t>不履行に対する金利に対する金利を支払ってはならない。</w:t>
            </w:r>
          </w:p>
          <w:p w14:paraId="252161FA" w14:textId="19F81F84" w:rsidR="001E2665" w:rsidRPr="001779F7" w:rsidRDefault="001E2665" w:rsidP="006B1757">
            <w:pPr>
              <w:spacing w:line="0" w:lineRule="atLeast"/>
              <w:ind w:left="61"/>
              <w:rPr>
                <w:rFonts w:asciiTheme="minorEastAsia" w:hAnsiTheme="minorEastAsia" w:cs="Times New Roman"/>
                <w:sz w:val="21"/>
                <w:szCs w:val="21"/>
              </w:rPr>
            </w:pPr>
            <w:r w:rsidRPr="001779F7">
              <w:rPr>
                <w:rFonts w:asciiTheme="minorEastAsia" w:hAnsiTheme="minorEastAsia" w:cs="Times New Roman" w:hint="eastAsia"/>
                <w:sz w:val="21"/>
                <w:szCs w:val="21"/>
              </w:rPr>
              <w:t>追加的な損害の証拠は認められる。</w:t>
            </w:r>
          </w:p>
        </w:tc>
        <w:tc>
          <w:tcPr>
            <w:tcW w:w="1530" w:type="dxa"/>
          </w:tcPr>
          <w:p w14:paraId="70B28482" w14:textId="28B987D1" w:rsidR="00AD7F0B" w:rsidRPr="001779F7" w:rsidRDefault="00AD7F0B" w:rsidP="006B1757">
            <w:pPr>
              <w:spacing w:line="0" w:lineRule="atLeast"/>
              <w:ind w:left="61"/>
              <w:rPr>
                <w:rFonts w:asciiTheme="minorEastAsia" w:hAnsiTheme="minorEastAsia" w:cs="Times New Roman"/>
                <w:sz w:val="21"/>
                <w:szCs w:val="21"/>
              </w:rPr>
            </w:pPr>
            <w:r w:rsidRPr="001779F7">
              <w:rPr>
                <w:rFonts w:asciiTheme="minorEastAsia" w:hAnsiTheme="minorEastAsia" w:cs="Times New Roman" w:hint="eastAsia"/>
                <w:sz w:val="21"/>
                <w:szCs w:val="21"/>
              </w:rPr>
              <w:t>2021年4月11日以降の不履行に適用</w:t>
            </w:r>
          </w:p>
        </w:tc>
      </w:tr>
      <w:tr w:rsidR="007C14CE" w:rsidRPr="001779F7" w14:paraId="742AB061" w14:textId="0020CCAF" w:rsidTr="00991549">
        <w:trPr>
          <w:trHeight w:val="3680"/>
        </w:trPr>
        <w:tc>
          <w:tcPr>
            <w:tcW w:w="1342" w:type="dxa"/>
          </w:tcPr>
          <w:p w14:paraId="1DD1ED12" w14:textId="308F7AE1" w:rsidR="006E71AC" w:rsidRPr="001779F7" w:rsidRDefault="006E71AC" w:rsidP="006B1757">
            <w:pPr>
              <w:spacing w:line="0" w:lineRule="atLeast"/>
              <w:rPr>
                <w:rFonts w:asciiTheme="minorEastAsia" w:hAnsiTheme="minorEastAsia" w:cs="Times New Roman"/>
                <w:sz w:val="21"/>
                <w:szCs w:val="21"/>
              </w:rPr>
            </w:pPr>
            <w:r w:rsidRPr="001779F7">
              <w:rPr>
                <w:rFonts w:asciiTheme="minorEastAsia" w:hAnsiTheme="minorEastAsia" w:cs="Times New Roman" w:hint="eastAsia"/>
                <w:sz w:val="21"/>
                <w:szCs w:val="21"/>
              </w:rPr>
              <w:t>債務不履行の場合</w:t>
            </w:r>
          </w:p>
        </w:tc>
        <w:tc>
          <w:tcPr>
            <w:tcW w:w="3241" w:type="dxa"/>
          </w:tcPr>
          <w:p w14:paraId="1F780F48" w14:textId="185C8A1C" w:rsidR="00395BB2" w:rsidRPr="001779F7" w:rsidRDefault="00395BB2" w:rsidP="006B1757">
            <w:pPr>
              <w:spacing w:line="0" w:lineRule="atLeast"/>
              <w:rPr>
                <w:rFonts w:asciiTheme="minorEastAsia" w:hAnsiTheme="minorEastAsia" w:cs="Times New Roman"/>
                <w:sz w:val="21"/>
                <w:szCs w:val="21"/>
              </w:rPr>
            </w:pPr>
            <w:r w:rsidRPr="001779F7">
              <w:rPr>
                <w:rFonts w:asciiTheme="minorEastAsia" w:hAnsiTheme="minorEastAsia" w:cs="Times New Roman" w:hint="eastAsia"/>
                <w:sz w:val="21"/>
                <w:szCs w:val="21"/>
              </w:rPr>
              <w:t>（該当条文</w:t>
            </w:r>
            <w:r w:rsidR="00903F25">
              <w:rPr>
                <w:rFonts w:asciiTheme="minorEastAsia" w:hAnsiTheme="minorEastAsia" w:cs="Times New Roman" w:hint="eastAsia"/>
                <w:sz w:val="21"/>
                <w:szCs w:val="21"/>
              </w:rPr>
              <w:t>無し</w:t>
            </w:r>
            <w:r w:rsidRPr="001779F7">
              <w:rPr>
                <w:rFonts w:asciiTheme="minorEastAsia" w:hAnsiTheme="minorEastAsia" w:cs="Times New Roman" w:hint="eastAsia"/>
                <w:sz w:val="21"/>
                <w:szCs w:val="21"/>
              </w:rPr>
              <w:t>）</w:t>
            </w:r>
          </w:p>
        </w:tc>
        <w:tc>
          <w:tcPr>
            <w:tcW w:w="3242" w:type="dxa"/>
          </w:tcPr>
          <w:p w14:paraId="459475D2" w14:textId="4E43DC92" w:rsidR="00395BB2" w:rsidRPr="001779F7" w:rsidRDefault="006E71AC" w:rsidP="006B1757">
            <w:pPr>
              <w:spacing w:line="0" w:lineRule="atLeast"/>
              <w:ind w:left="61"/>
              <w:jc w:val="both"/>
              <w:rPr>
                <w:rStyle w:val="Emphasis"/>
                <w:rFonts w:asciiTheme="minorEastAsia" w:hAnsiTheme="minorEastAsia"/>
                <w:i w:val="0"/>
                <w:iCs w:val="0"/>
                <w:sz w:val="21"/>
                <w:szCs w:val="21"/>
                <w:shd w:val="clear" w:color="auto" w:fill="FFFFFF"/>
              </w:rPr>
            </w:pPr>
            <w:r w:rsidRPr="001779F7">
              <w:rPr>
                <w:rStyle w:val="Emphasis"/>
                <w:rFonts w:asciiTheme="minorEastAsia" w:hAnsiTheme="minorEastAsia" w:hint="eastAsia"/>
                <w:i w:val="0"/>
                <w:iCs w:val="0"/>
                <w:sz w:val="21"/>
                <w:szCs w:val="21"/>
                <w:shd w:val="clear" w:color="auto" w:fill="FFFFFF"/>
              </w:rPr>
              <w:t>第224/</w:t>
            </w:r>
            <w:r w:rsidRPr="001779F7">
              <w:rPr>
                <w:rStyle w:val="Emphasis"/>
                <w:rFonts w:asciiTheme="minorEastAsia" w:hAnsiTheme="minorEastAsia"/>
                <w:i w:val="0"/>
                <w:iCs w:val="0"/>
                <w:sz w:val="21"/>
                <w:szCs w:val="21"/>
                <w:shd w:val="clear" w:color="auto" w:fill="FFFFFF"/>
              </w:rPr>
              <w:t>1</w:t>
            </w:r>
            <w:r w:rsidRPr="001779F7">
              <w:rPr>
                <w:rStyle w:val="Emphasis"/>
                <w:rFonts w:asciiTheme="minorEastAsia" w:hAnsiTheme="minorEastAsia" w:hint="eastAsia"/>
                <w:i w:val="0"/>
                <w:iCs w:val="0"/>
                <w:sz w:val="21"/>
                <w:szCs w:val="21"/>
                <w:shd w:val="clear" w:color="auto" w:fill="FFFFFF"/>
              </w:rPr>
              <w:t>条：債務者が債務を分割返済する義務を負い、当該債務者が支払不履行を起こした</w:t>
            </w:r>
            <w:r w:rsidR="003A6963">
              <w:rPr>
                <w:rStyle w:val="Emphasis"/>
                <w:rFonts w:asciiTheme="minorEastAsia" w:hAnsiTheme="minorEastAsia" w:hint="eastAsia"/>
                <w:i w:val="0"/>
                <w:iCs w:val="0"/>
                <w:sz w:val="21"/>
                <w:szCs w:val="21"/>
                <w:shd w:val="clear" w:color="auto" w:fill="FFFFFF"/>
              </w:rPr>
              <w:t>場合</w:t>
            </w:r>
            <w:r w:rsidRPr="001779F7">
              <w:rPr>
                <w:rStyle w:val="Emphasis"/>
                <w:rFonts w:asciiTheme="minorEastAsia" w:hAnsiTheme="minorEastAsia" w:hint="eastAsia"/>
                <w:i w:val="0"/>
                <w:iCs w:val="0"/>
                <w:sz w:val="21"/>
                <w:szCs w:val="21"/>
                <w:shd w:val="clear" w:color="auto" w:fill="FFFFFF"/>
              </w:rPr>
              <w:t>、債権者</w:t>
            </w:r>
            <w:r w:rsidR="003A6963">
              <w:rPr>
                <w:rStyle w:val="Emphasis"/>
                <w:rFonts w:asciiTheme="minorEastAsia" w:hAnsiTheme="minorEastAsia" w:hint="eastAsia"/>
                <w:i w:val="0"/>
                <w:iCs w:val="0"/>
                <w:sz w:val="21"/>
                <w:szCs w:val="21"/>
                <w:shd w:val="clear" w:color="auto" w:fill="FFFFFF"/>
              </w:rPr>
              <w:t>は、</w:t>
            </w:r>
            <w:r w:rsidR="00AD7F0B" w:rsidRPr="001779F7">
              <w:rPr>
                <w:rStyle w:val="Emphasis"/>
                <w:rFonts w:asciiTheme="minorEastAsia" w:hAnsiTheme="minorEastAsia" w:hint="eastAsia"/>
                <w:i w:val="0"/>
                <w:iCs w:val="0"/>
                <w:sz w:val="21"/>
                <w:szCs w:val="21"/>
                <w:shd w:val="clear" w:color="auto" w:fill="FFFFFF"/>
              </w:rPr>
              <w:t>当該不履行期間中</w:t>
            </w:r>
            <w:r w:rsidR="003A6963">
              <w:rPr>
                <w:rStyle w:val="Emphasis"/>
                <w:rFonts w:asciiTheme="minorEastAsia" w:hAnsiTheme="minorEastAsia" w:hint="eastAsia"/>
                <w:i w:val="0"/>
                <w:iCs w:val="0"/>
                <w:sz w:val="21"/>
                <w:szCs w:val="21"/>
                <w:shd w:val="clear" w:color="auto" w:fill="FFFFFF"/>
              </w:rPr>
              <w:t>に関し</w:t>
            </w:r>
            <w:r w:rsidRPr="001779F7">
              <w:rPr>
                <w:rStyle w:val="Emphasis"/>
                <w:rFonts w:asciiTheme="minorEastAsia" w:hAnsiTheme="minorEastAsia" w:hint="eastAsia"/>
                <w:i w:val="0"/>
                <w:iCs w:val="0"/>
                <w:sz w:val="21"/>
                <w:szCs w:val="21"/>
                <w:shd w:val="clear" w:color="auto" w:fill="FFFFFF"/>
              </w:rPr>
              <w:t>要求できる金利は、</w:t>
            </w:r>
            <w:r w:rsidR="00AD7F0B" w:rsidRPr="001779F7">
              <w:rPr>
                <w:rStyle w:val="Emphasis"/>
                <w:rFonts w:asciiTheme="minorEastAsia" w:hAnsiTheme="minorEastAsia" w:hint="eastAsia"/>
                <w:i w:val="0"/>
                <w:iCs w:val="0"/>
                <w:sz w:val="21"/>
                <w:szCs w:val="21"/>
                <w:shd w:val="clear" w:color="auto" w:fill="FFFFFF"/>
              </w:rPr>
              <w:t>未払いとなっている分割金の元本に対してのみとする。</w:t>
            </w:r>
          </w:p>
          <w:p w14:paraId="5C8B4E19" w14:textId="77777777" w:rsidR="00AD7F0B" w:rsidRPr="001779F7" w:rsidRDefault="00AD7F0B" w:rsidP="006B1757">
            <w:pPr>
              <w:spacing w:line="0" w:lineRule="atLeast"/>
              <w:ind w:left="61"/>
              <w:jc w:val="both"/>
              <w:rPr>
                <w:rStyle w:val="Emphasis"/>
                <w:rFonts w:asciiTheme="minorEastAsia" w:hAnsiTheme="minorEastAsia"/>
                <w:i w:val="0"/>
                <w:iCs w:val="0"/>
                <w:sz w:val="21"/>
                <w:szCs w:val="21"/>
                <w:shd w:val="clear" w:color="auto" w:fill="FFFFFF"/>
              </w:rPr>
            </w:pPr>
          </w:p>
          <w:p w14:paraId="19809040" w14:textId="30CF02EC" w:rsidR="00AD7F0B" w:rsidRPr="001779F7" w:rsidRDefault="00AD7F0B" w:rsidP="006B1757">
            <w:pPr>
              <w:spacing w:line="0" w:lineRule="atLeast"/>
              <w:ind w:left="61"/>
              <w:jc w:val="both"/>
              <w:rPr>
                <w:rFonts w:asciiTheme="minorEastAsia" w:hAnsiTheme="minorEastAsia" w:cs="Times New Roman"/>
                <w:i/>
                <w:iCs/>
                <w:sz w:val="21"/>
                <w:szCs w:val="21"/>
              </w:rPr>
            </w:pPr>
            <w:r w:rsidRPr="001779F7">
              <w:rPr>
                <w:rStyle w:val="Emphasis"/>
                <w:rFonts w:asciiTheme="minorEastAsia" w:hAnsiTheme="minorEastAsia" w:hint="eastAsia"/>
                <w:i w:val="0"/>
                <w:iCs w:val="0"/>
                <w:sz w:val="21"/>
                <w:szCs w:val="21"/>
                <w:shd w:val="clear" w:color="auto" w:fill="FFFFFF"/>
              </w:rPr>
              <w:t>第一項に反するあらゆる合意を無効とする。</w:t>
            </w:r>
          </w:p>
        </w:tc>
        <w:tc>
          <w:tcPr>
            <w:tcW w:w="1530" w:type="dxa"/>
          </w:tcPr>
          <w:p w14:paraId="05590010" w14:textId="220E2575" w:rsidR="00AD7F0B" w:rsidRPr="001779F7" w:rsidRDefault="00AD7F0B" w:rsidP="006B1757">
            <w:pPr>
              <w:spacing w:line="0" w:lineRule="atLeast"/>
              <w:ind w:left="61"/>
              <w:rPr>
                <w:rFonts w:asciiTheme="minorEastAsia" w:hAnsiTheme="minorEastAsia" w:cs="Times New Roman"/>
                <w:sz w:val="21"/>
                <w:szCs w:val="21"/>
              </w:rPr>
            </w:pPr>
            <w:r w:rsidRPr="001779F7">
              <w:rPr>
                <w:rFonts w:asciiTheme="minorEastAsia" w:hAnsiTheme="minorEastAsia" w:cs="Times New Roman" w:hint="eastAsia"/>
                <w:sz w:val="21"/>
                <w:szCs w:val="21"/>
              </w:rPr>
              <w:t>2021年4月11日以降の未払</w:t>
            </w:r>
            <w:r w:rsidR="00991549">
              <w:rPr>
                <w:rFonts w:asciiTheme="minorEastAsia" w:hAnsiTheme="minorEastAsia" w:cs="Times New Roman" w:hint="eastAsia"/>
                <w:sz w:val="21"/>
                <w:szCs w:val="21"/>
              </w:rPr>
              <w:t>い</w:t>
            </w:r>
            <w:r w:rsidRPr="001779F7">
              <w:rPr>
                <w:rFonts w:asciiTheme="minorEastAsia" w:hAnsiTheme="minorEastAsia" w:cs="Times New Roman" w:hint="eastAsia"/>
                <w:sz w:val="21"/>
                <w:szCs w:val="21"/>
              </w:rPr>
              <w:t>分割金に適用</w:t>
            </w:r>
          </w:p>
        </w:tc>
      </w:tr>
    </w:tbl>
    <w:p w14:paraId="6A08BDAD" w14:textId="15DE226F" w:rsidR="00FC775A" w:rsidRPr="001779F7" w:rsidRDefault="00FC775A" w:rsidP="00FC775A">
      <w:pPr>
        <w:spacing w:after="0" w:line="0" w:lineRule="atLeast"/>
        <w:jc w:val="both"/>
        <w:rPr>
          <w:rFonts w:asciiTheme="minorEastAsia" w:hAnsiTheme="minorEastAsia" w:cs="Times New Roman"/>
          <w:color w:val="000000" w:themeColor="text1"/>
          <w:sz w:val="21"/>
          <w:szCs w:val="21"/>
        </w:rPr>
      </w:pPr>
    </w:p>
    <w:p w14:paraId="5682FB42" w14:textId="24845A1B" w:rsidR="007C14CE" w:rsidRPr="001779F7" w:rsidRDefault="007C14CE" w:rsidP="00FC775A">
      <w:pPr>
        <w:spacing w:after="0" w:line="0" w:lineRule="atLeast"/>
        <w:jc w:val="both"/>
        <w:rPr>
          <w:rFonts w:asciiTheme="minorEastAsia" w:hAnsiTheme="minorEastAsia" w:cs="Times New Roman"/>
          <w:color w:val="000000" w:themeColor="text1"/>
          <w:sz w:val="21"/>
          <w:szCs w:val="21"/>
        </w:rPr>
      </w:pPr>
      <w:r w:rsidRPr="001779F7">
        <w:rPr>
          <w:rFonts w:asciiTheme="minorEastAsia" w:hAnsiTheme="minorEastAsia" w:cs="Times New Roman"/>
          <w:color w:val="000000" w:themeColor="text1"/>
          <w:sz w:val="21"/>
          <w:szCs w:val="21"/>
        </w:rPr>
        <w:t>C</w:t>
      </w:r>
      <w:r w:rsidR="00837C86" w:rsidRPr="001779F7">
        <w:rPr>
          <w:rFonts w:asciiTheme="minorEastAsia" w:hAnsiTheme="minorEastAsia" w:cs="Times New Roman"/>
          <w:color w:val="000000" w:themeColor="text1"/>
          <w:sz w:val="21"/>
          <w:szCs w:val="21"/>
        </w:rPr>
        <w:t>OMMENTS</w:t>
      </w:r>
    </w:p>
    <w:p w14:paraId="28F14A4C" w14:textId="4286BBDF" w:rsidR="001779F7" w:rsidRPr="001779F7" w:rsidRDefault="006014CE" w:rsidP="00991549">
      <w:pPr>
        <w:spacing w:after="120" w:line="0" w:lineRule="atLeast"/>
        <w:jc w:val="both"/>
        <w:rPr>
          <w:rFonts w:asciiTheme="minorEastAsia" w:hAnsiTheme="minorEastAsia"/>
          <w:color w:val="000000" w:themeColor="text1"/>
          <w:sz w:val="21"/>
          <w:szCs w:val="21"/>
          <w:lang w:bidi="th-TH"/>
        </w:rPr>
      </w:pPr>
      <w:r>
        <w:rPr>
          <w:rFonts w:asciiTheme="minorEastAsia" w:hAnsiTheme="minorEastAsia" w:hint="eastAsia"/>
          <w:color w:val="000000" w:themeColor="text1"/>
          <w:sz w:val="21"/>
          <w:szCs w:val="21"/>
          <w:lang w:bidi="th-TH"/>
        </w:rPr>
        <w:t>一般的に</w:t>
      </w:r>
      <w:r w:rsidR="00104724">
        <w:rPr>
          <w:rFonts w:asciiTheme="minorEastAsia" w:hAnsiTheme="minorEastAsia" w:hint="eastAsia"/>
          <w:color w:val="000000" w:themeColor="text1"/>
          <w:sz w:val="21"/>
          <w:szCs w:val="21"/>
          <w:lang w:bidi="th-TH"/>
        </w:rPr>
        <w:t>、法定金利は、</w:t>
      </w:r>
      <w:r>
        <w:rPr>
          <w:rFonts w:asciiTheme="minorEastAsia" w:hAnsiTheme="minorEastAsia" w:hint="eastAsia"/>
          <w:color w:val="000000" w:themeColor="text1"/>
          <w:sz w:val="21"/>
          <w:szCs w:val="21"/>
          <w:lang w:bidi="th-TH"/>
        </w:rPr>
        <w:t>利率を明記しないローンがある場合</w:t>
      </w:r>
      <w:r w:rsidR="00104724">
        <w:rPr>
          <w:rFonts w:asciiTheme="minorEastAsia" w:hAnsiTheme="minorEastAsia" w:hint="eastAsia"/>
          <w:color w:val="000000" w:themeColor="text1"/>
          <w:sz w:val="21"/>
          <w:szCs w:val="21"/>
          <w:lang w:bidi="th-TH"/>
        </w:rPr>
        <w:t>、</w:t>
      </w:r>
      <w:r>
        <w:rPr>
          <w:rFonts w:asciiTheme="minorEastAsia" w:hAnsiTheme="minorEastAsia" w:hint="eastAsia"/>
          <w:color w:val="000000" w:themeColor="text1"/>
          <w:sz w:val="21"/>
          <w:szCs w:val="21"/>
          <w:lang w:bidi="th-TH"/>
        </w:rPr>
        <w:t>適用される金利であるため、通常普通の会社は</w:t>
      </w:r>
      <w:r w:rsidR="00104724">
        <w:rPr>
          <w:rFonts w:asciiTheme="minorEastAsia" w:hAnsiTheme="minorEastAsia" w:hint="eastAsia"/>
          <w:color w:val="000000" w:themeColor="text1"/>
          <w:sz w:val="21"/>
          <w:szCs w:val="21"/>
          <w:lang w:bidi="th-TH"/>
        </w:rPr>
        <w:t>第7条及び第224条の</w:t>
      </w:r>
      <w:r>
        <w:rPr>
          <w:rFonts w:asciiTheme="minorEastAsia" w:hAnsiTheme="minorEastAsia" w:hint="eastAsia"/>
          <w:color w:val="000000" w:themeColor="text1"/>
          <w:sz w:val="21"/>
          <w:szCs w:val="21"/>
          <w:lang w:bidi="th-TH"/>
        </w:rPr>
        <w:t>改正により影響は</w:t>
      </w:r>
      <w:r w:rsidR="00104724">
        <w:rPr>
          <w:rFonts w:asciiTheme="minorEastAsia" w:hAnsiTheme="minorEastAsia" w:hint="eastAsia"/>
          <w:color w:val="000000" w:themeColor="text1"/>
          <w:sz w:val="21"/>
          <w:szCs w:val="21"/>
          <w:lang w:bidi="th-TH"/>
        </w:rPr>
        <w:t>ほぼ</w:t>
      </w:r>
      <w:r>
        <w:rPr>
          <w:rFonts w:asciiTheme="minorEastAsia" w:hAnsiTheme="minorEastAsia" w:hint="eastAsia"/>
          <w:color w:val="000000" w:themeColor="text1"/>
          <w:sz w:val="21"/>
          <w:szCs w:val="21"/>
          <w:lang w:bidi="th-TH"/>
        </w:rPr>
        <w:t>無いと考えられます。</w:t>
      </w:r>
      <w:r w:rsidR="00104724">
        <w:rPr>
          <w:rFonts w:asciiTheme="minorEastAsia" w:hAnsiTheme="minorEastAsia" w:hint="eastAsia"/>
          <w:color w:val="000000" w:themeColor="text1"/>
          <w:sz w:val="21"/>
          <w:szCs w:val="21"/>
          <w:lang w:bidi="th-TH"/>
        </w:rPr>
        <w:t>何故なら、</w:t>
      </w:r>
      <w:r>
        <w:rPr>
          <w:rFonts w:asciiTheme="minorEastAsia" w:hAnsiTheme="minorEastAsia" w:hint="eastAsia"/>
          <w:color w:val="000000" w:themeColor="text1"/>
          <w:sz w:val="21"/>
          <w:szCs w:val="21"/>
          <w:lang w:bidi="th-TH"/>
        </w:rPr>
        <w:t>2,000バーツ超のローン契約は原則的に文書、及び債務者による署名が無い限り強制力を有さない</w:t>
      </w:r>
      <w:r w:rsidR="00E54C57" w:rsidRPr="001779F7">
        <w:rPr>
          <w:rStyle w:val="FootnoteReference"/>
          <w:rFonts w:asciiTheme="minorEastAsia" w:hAnsiTheme="minorEastAsia" w:cs="Times New Roman"/>
          <w:color w:val="000000" w:themeColor="text1"/>
          <w:sz w:val="21"/>
          <w:szCs w:val="21"/>
        </w:rPr>
        <w:footnoteReference w:id="3"/>
      </w:r>
      <w:r w:rsidR="00104724">
        <w:rPr>
          <w:rFonts w:asciiTheme="minorEastAsia" w:hAnsiTheme="minorEastAsia" w:hint="eastAsia"/>
          <w:color w:val="000000" w:themeColor="text1"/>
          <w:sz w:val="21"/>
          <w:szCs w:val="21"/>
          <w:lang w:bidi="th-TH"/>
        </w:rPr>
        <w:t>ため</w:t>
      </w:r>
      <w:r w:rsidR="00E54C57">
        <w:rPr>
          <w:rFonts w:asciiTheme="minorEastAsia" w:hAnsiTheme="minorEastAsia" w:hint="eastAsia"/>
          <w:color w:val="000000" w:themeColor="text1"/>
          <w:sz w:val="21"/>
          <w:szCs w:val="21"/>
          <w:lang w:bidi="th-TH"/>
        </w:rPr>
        <w:t>、会社</w:t>
      </w:r>
      <w:r w:rsidR="00104724">
        <w:rPr>
          <w:rFonts w:asciiTheme="minorEastAsia" w:hAnsiTheme="minorEastAsia" w:hint="eastAsia"/>
          <w:color w:val="000000" w:themeColor="text1"/>
          <w:sz w:val="21"/>
          <w:szCs w:val="21"/>
          <w:lang w:bidi="th-TH"/>
        </w:rPr>
        <w:t>は</w:t>
      </w:r>
      <w:r w:rsidR="00E54C57">
        <w:rPr>
          <w:rFonts w:asciiTheme="minorEastAsia" w:hAnsiTheme="minorEastAsia" w:hint="eastAsia"/>
          <w:color w:val="000000" w:themeColor="text1"/>
          <w:sz w:val="21"/>
          <w:szCs w:val="21"/>
          <w:lang w:bidi="th-TH"/>
        </w:rPr>
        <w:t>ローンを</w:t>
      </w:r>
      <w:r w:rsidR="00104724">
        <w:rPr>
          <w:rFonts w:asciiTheme="minorEastAsia" w:hAnsiTheme="minorEastAsia" w:hint="eastAsia"/>
          <w:color w:val="000000" w:themeColor="text1"/>
          <w:sz w:val="21"/>
          <w:szCs w:val="21"/>
          <w:lang w:bidi="th-TH"/>
        </w:rPr>
        <w:t>提供、または</w:t>
      </w:r>
      <w:r w:rsidR="00E54C57">
        <w:rPr>
          <w:rFonts w:asciiTheme="minorEastAsia" w:hAnsiTheme="minorEastAsia" w:hint="eastAsia"/>
          <w:color w:val="000000" w:themeColor="text1"/>
          <w:sz w:val="21"/>
          <w:szCs w:val="21"/>
          <w:lang w:bidi="th-TH"/>
        </w:rPr>
        <w:t>借りる場合、</w:t>
      </w:r>
      <w:r w:rsidR="00104724">
        <w:rPr>
          <w:rFonts w:asciiTheme="minorEastAsia" w:hAnsiTheme="minorEastAsia" w:hint="eastAsia"/>
          <w:color w:val="000000" w:themeColor="text1"/>
          <w:sz w:val="21"/>
          <w:szCs w:val="21"/>
          <w:lang w:bidi="th-TH"/>
        </w:rPr>
        <w:t>通常、</w:t>
      </w:r>
      <w:r w:rsidR="00E54C57">
        <w:rPr>
          <w:rFonts w:asciiTheme="minorEastAsia" w:hAnsiTheme="minorEastAsia" w:hint="eastAsia"/>
          <w:color w:val="000000" w:themeColor="text1"/>
          <w:sz w:val="21"/>
          <w:szCs w:val="21"/>
          <w:lang w:bidi="th-TH"/>
        </w:rPr>
        <w:t>契約書を作成し、そこに利率</w:t>
      </w:r>
      <w:r w:rsidR="00104724">
        <w:rPr>
          <w:rFonts w:asciiTheme="minorEastAsia" w:hAnsiTheme="minorEastAsia" w:hint="eastAsia"/>
          <w:color w:val="000000" w:themeColor="text1"/>
          <w:sz w:val="21"/>
          <w:szCs w:val="21"/>
          <w:lang w:bidi="th-TH"/>
        </w:rPr>
        <w:t>を</w:t>
      </w:r>
      <w:r w:rsidR="00E54C57">
        <w:rPr>
          <w:rFonts w:asciiTheme="minorEastAsia" w:hAnsiTheme="minorEastAsia" w:hint="eastAsia"/>
          <w:color w:val="000000" w:themeColor="text1"/>
          <w:sz w:val="21"/>
          <w:szCs w:val="21"/>
          <w:lang w:bidi="th-TH"/>
        </w:rPr>
        <w:t>明記</w:t>
      </w:r>
      <w:r w:rsidR="00104724">
        <w:rPr>
          <w:rFonts w:asciiTheme="minorEastAsia" w:hAnsiTheme="minorEastAsia" w:hint="eastAsia"/>
          <w:color w:val="000000" w:themeColor="text1"/>
          <w:sz w:val="21"/>
          <w:szCs w:val="21"/>
          <w:lang w:bidi="th-TH"/>
        </w:rPr>
        <w:t>すると</w:t>
      </w:r>
      <w:r w:rsidR="00E54C57">
        <w:rPr>
          <w:rFonts w:asciiTheme="minorEastAsia" w:hAnsiTheme="minorEastAsia" w:hint="eastAsia"/>
          <w:color w:val="000000" w:themeColor="text1"/>
          <w:sz w:val="21"/>
          <w:szCs w:val="21"/>
          <w:lang w:bidi="th-TH"/>
        </w:rPr>
        <w:t>考えられるため、法定金利を参照することはほとんど無いと思われます。</w:t>
      </w:r>
    </w:p>
    <w:p w14:paraId="637C7AEA" w14:textId="2DB8FA9B" w:rsidR="00E54C57" w:rsidRDefault="006B4771" w:rsidP="00991549">
      <w:pPr>
        <w:spacing w:after="120" w:line="0" w:lineRule="atLeast"/>
        <w:jc w:val="both"/>
        <w:rPr>
          <w:rFonts w:asciiTheme="minorEastAsia" w:hAnsiTheme="minorEastAsia" w:cs="Times New Roman"/>
          <w:color w:val="000000" w:themeColor="text1"/>
          <w:sz w:val="21"/>
          <w:szCs w:val="21"/>
        </w:rPr>
      </w:pPr>
      <w:r>
        <w:rPr>
          <w:rFonts w:asciiTheme="minorEastAsia" w:hAnsiTheme="minorEastAsia" w:cs="Times New Roman" w:hint="eastAsia"/>
          <w:color w:val="000000" w:themeColor="text1"/>
          <w:sz w:val="21"/>
          <w:szCs w:val="21"/>
        </w:rPr>
        <w:t>一方、今回新たに設けられた第2</w:t>
      </w:r>
      <w:r>
        <w:rPr>
          <w:rFonts w:asciiTheme="minorEastAsia" w:hAnsiTheme="minorEastAsia" w:cs="Times New Roman"/>
          <w:color w:val="000000" w:themeColor="text1"/>
          <w:sz w:val="21"/>
          <w:szCs w:val="21"/>
        </w:rPr>
        <w:t>24/1</w:t>
      </w:r>
      <w:r>
        <w:rPr>
          <w:rFonts w:asciiTheme="minorEastAsia" w:hAnsiTheme="minorEastAsia" w:cs="Times New Roman" w:hint="eastAsia"/>
          <w:color w:val="000000" w:themeColor="text1"/>
          <w:sz w:val="21"/>
          <w:szCs w:val="21"/>
        </w:rPr>
        <w:t>は</w:t>
      </w:r>
      <w:r w:rsidR="00104724">
        <w:rPr>
          <w:rFonts w:asciiTheme="minorEastAsia" w:hAnsiTheme="minorEastAsia" w:cs="Times New Roman" w:hint="eastAsia"/>
          <w:color w:val="000000" w:themeColor="text1"/>
          <w:sz w:val="21"/>
          <w:szCs w:val="21"/>
        </w:rPr>
        <w:t>、</w:t>
      </w:r>
      <w:r w:rsidR="00C22693">
        <w:rPr>
          <w:rFonts w:asciiTheme="minorEastAsia" w:hAnsiTheme="minorEastAsia" w:cs="Times New Roman" w:hint="eastAsia"/>
          <w:color w:val="000000" w:themeColor="text1"/>
          <w:sz w:val="21"/>
          <w:szCs w:val="21"/>
        </w:rPr>
        <w:t>契約書面上、</w:t>
      </w:r>
      <w:r w:rsidR="00632538">
        <w:rPr>
          <w:rFonts w:asciiTheme="minorEastAsia" w:hAnsiTheme="minorEastAsia" w:cs="Times New Roman" w:hint="eastAsia"/>
          <w:color w:val="000000" w:themeColor="text1"/>
          <w:sz w:val="21"/>
          <w:szCs w:val="21"/>
        </w:rPr>
        <w:t>分割返済の不履行・遅延</w:t>
      </w:r>
      <w:r w:rsidR="00C22693">
        <w:rPr>
          <w:rFonts w:asciiTheme="minorEastAsia" w:hAnsiTheme="minorEastAsia" w:cs="Times New Roman" w:hint="eastAsia"/>
          <w:color w:val="000000" w:themeColor="text1"/>
          <w:sz w:val="21"/>
          <w:szCs w:val="21"/>
        </w:rPr>
        <w:t>に対する</w:t>
      </w:r>
      <w:r w:rsidR="00632538">
        <w:rPr>
          <w:rFonts w:asciiTheme="minorEastAsia" w:hAnsiTheme="minorEastAsia" w:cs="Times New Roman" w:hint="eastAsia"/>
          <w:color w:val="000000" w:themeColor="text1"/>
          <w:sz w:val="21"/>
          <w:szCs w:val="21"/>
        </w:rPr>
        <w:t>複利計算</w:t>
      </w:r>
      <w:r w:rsidR="00C22693">
        <w:rPr>
          <w:rFonts w:asciiTheme="minorEastAsia" w:hAnsiTheme="minorEastAsia" w:cs="Times New Roman" w:hint="eastAsia"/>
          <w:color w:val="000000" w:themeColor="text1"/>
          <w:sz w:val="21"/>
          <w:szCs w:val="21"/>
        </w:rPr>
        <w:t>の</w:t>
      </w:r>
      <w:r w:rsidR="00632538">
        <w:rPr>
          <w:rFonts w:asciiTheme="minorEastAsia" w:hAnsiTheme="minorEastAsia" w:cs="Times New Roman" w:hint="eastAsia"/>
          <w:color w:val="000000" w:themeColor="text1"/>
          <w:sz w:val="21"/>
          <w:szCs w:val="21"/>
        </w:rPr>
        <w:t>合意が明記されてたとしても、それは認められない意味において</w:t>
      </w:r>
      <w:r>
        <w:rPr>
          <w:rFonts w:asciiTheme="minorEastAsia" w:hAnsiTheme="minorEastAsia" w:cs="Times New Roman" w:hint="eastAsia"/>
          <w:color w:val="000000" w:themeColor="text1"/>
          <w:sz w:val="21"/>
          <w:szCs w:val="21"/>
        </w:rPr>
        <w:t>第7条、及び第224条と区別ができると言えます。</w:t>
      </w:r>
    </w:p>
    <w:p w14:paraId="15098C23" w14:textId="77777777" w:rsidR="00F46075" w:rsidRDefault="00F46075" w:rsidP="00F46075">
      <w:pPr>
        <w:spacing w:after="120" w:line="0" w:lineRule="atLeast"/>
        <w:jc w:val="both"/>
        <w:rPr>
          <w:rFonts w:asciiTheme="minorEastAsia" w:hAnsiTheme="minorEastAsia" w:cs="Times New Roman"/>
          <w:color w:val="000000" w:themeColor="text1"/>
          <w:sz w:val="21"/>
          <w:szCs w:val="21"/>
        </w:rPr>
      </w:pPr>
      <w:r>
        <w:rPr>
          <w:rFonts w:asciiTheme="minorEastAsia" w:hAnsiTheme="minorEastAsia" w:cs="Times New Roman" w:hint="eastAsia"/>
          <w:color w:val="000000" w:themeColor="text1"/>
          <w:sz w:val="21"/>
          <w:szCs w:val="21"/>
        </w:rPr>
        <w:t>ところで、法定金利は、高利貸率と混同してはなりません。タイにおいて認められる金利の上限は、原則的に年間15％に限られています</w:t>
      </w:r>
      <w:r w:rsidRPr="001779F7">
        <w:rPr>
          <w:rStyle w:val="FootnoteReference"/>
          <w:rFonts w:asciiTheme="minorEastAsia" w:hAnsiTheme="minorEastAsia" w:cs="Times New Roman"/>
          <w:color w:val="000000" w:themeColor="text1"/>
          <w:sz w:val="21"/>
          <w:szCs w:val="21"/>
        </w:rPr>
        <w:footnoteReference w:id="4"/>
      </w:r>
      <w:r w:rsidRPr="001779F7">
        <w:rPr>
          <w:rFonts w:asciiTheme="minorEastAsia" w:hAnsiTheme="minorEastAsia" w:cs="Times New Roman"/>
          <w:color w:val="000000" w:themeColor="text1"/>
          <w:sz w:val="21"/>
          <w:szCs w:val="21"/>
        </w:rPr>
        <w:t xml:space="preserve"> </w:t>
      </w:r>
      <w:r>
        <w:rPr>
          <w:rFonts w:asciiTheme="minorEastAsia" w:hAnsiTheme="minorEastAsia" w:cs="Times New Roman" w:hint="eastAsia"/>
          <w:color w:val="000000" w:themeColor="text1"/>
          <w:sz w:val="21"/>
          <w:szCs w:val="21"/>
        </w:rPr>
        <w:t>。原則的にそれを超過して金利を債権者に支払う義務はありません。</w:t>
      </w:r>
    </w:p>
    <w:p w14:paraId="7353CA18" w14:textId="17126663" w:rsidR="00FC775A" w:rsidRPr="001779F7" w:rsidRDefault="00903F25" w:rsidP="00FC775A">
      <w:pPr>
        <w:spacing w:after="0" w:line="0" w:lineRule="atLeast"/>
        <w:jc w:val="both"/>
        <w:rPr>
          <w:rFonts w:asciiTheme="minorEastAsia" w:hAnsiTheme="minorEastAsia" w:cs="Times New Roman"/>
          <w:color w:val="000000" w:themeColor="text1"/>
          <w:sz w:val="21"/>
          <w:szCs w:val="21"/>
        </w:rPr>
      </w:pPr>
      <w:r>
        <w:rPr>
          <w:rFonts w:asciiTheme="minorEastAsia" w:hAnsiTheme="minorEastAsia" w:cs="Times New Roman" w:hint="eastAsia"/>
          <w:color w:val="000000" w:themeColor="text1"/>
          <w:sz w:val="21"/>
          <w:szCs w:val="21"/>
        </w:rPr>
        <w:t>西上床　満</w:t>
      </w:r>
    </w:p>
    <w:p w14:paraId="7403CDBE" w14:textId="713BCAE6" w:rsidR="00081FF2" w:rsidRPr="001779F7" w:rsidRDefault="00081FF2" w:rsidP="00FC775A">
      <w:pPr>
        <w:spacing w:after="0" w:line="0" w:lineRule="atLeast"/>
        <w:jc w:val="both"/>
        <w:rPr>
          <w:rFonts w:asciiTheme="minorEastAsia" w:hAnsiTheme="minorEastAsia" w:cs="Times New Roman"/>
          <w:color w:val="000000" w:themeColor="text1"/>
          <w:sz w:val="21"/>
          <w:szCs w:val="21"/>
        </w:rPr>
      </w:pPr>
      <w:r w:rsidRPr="001779F7">
        <w:rPr>
          <w:rFonts w:asciiTheme="minorEastAsia" w:hAnsiTheme="minorEastAsia" w:cs="Times New Roman"/>
          <w:color w:val="000000" w:themeColor="text1"/>
          <w:sz w:val="21"/>
          <w:szCs w:val="21"/>
        </w:rPr>
        <w:t>NNP Advisory Ltd.</w:t>
      </w:r>
    </w:p>
    <w:p w14:paraId="7BCD44DF" w14:textId="682CA4E6" w:rsidR="00E964F1" w:rsidRPr="001779F7" w:rsidRDefault="00146CF4" w:rsidP="00903F25">
      <w:pPr>
        <w:spacing w:after="0" w:line="0" w:lineRule="atLeast"/>
        <w:jc w:val="both"/>
        <w:rPr>
          <w:rFonts w:asciiTheme="minorEastAsia" w:hAnsiTheme="minorEastAsia" w:cs="Times New Roman"/>
          <w:sz w:val="21"/>
          <w:szCs w:val="21"/>
        </w:rPr>
      </w:pPr>
      <w:hyperlink r:id="rId10" w:history="1">
        <w:r w:rsidR="00903F25" w:rsidRPr="00A0713A">
          <w:rPr>
            <w:rStyle w:val="Hyperlink"/>
          </w:rPr>
          <w:t>www.nnp-advisory.com</w:t>
        </w:r>
      </w:hyperlink>
    </w:p>
    <w:sectPr w:rsidR="00E964F1" w:rsidRPr="001779F7" w:rsidSect="001779F7">
      <w:headerReference w:type="default" r:id="rId11"/>
      <w:footerReference w:type="default" r:id="rId12"/>
      <w:pgSz w:w="11906" w:h="16838" w:code="9"/>
      <w:pgMar w:top="1170" w:right="1106" w:bottom="90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BAB72" w14:textId="77777777" w:rsidR="00146CF4" w:rsidRDefault="00146CF4" w:rsidP="007C3B16">
      <w:pPr>
        <w:spacing w:after="0" w:line="240" w:lineRule="auto"/>
      </w:pPr>
      <w:r>
        <w:separator/>
      </w:r>
    </w:p>
  </w:endnote>
  <w:endnote w:type="continuationSeparator" w:id="0">
    <w:p w14:paraId="292C949F" w14:textId="77777777" w:rsidR="00146CF4" w:rsidRDefault="00146CF4" w:rsidP="007C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B142" w14:textId="77777777" w:rsidR="00B7083B" w:rsidRPr="007C3B16" w:rsidRDefault="00B7083B" w:rsidP="007C3B16">
    <w:pPr>
      <w:pStyle w:val="Footer"/>
      <w:jc w:val="right"/>
      <w:rPr>
        <w:rFonts w:ascii="Times New Roman" w:hAnsi="Times New Roman" w:cs="Times New Roman"/>
        <w:color w:val="000000" w:themeColor="text1"/>
        <w:sz w:val="18"/>
        <w:szCs w:val="18"/>
      </w:rPr>
    </w:pPr>
    <w:r w:rsidRPr="007C3B16">
      <w:rPr>
        <w:rFonts w:ascii="Times New Roman" w:hAnsi="Times New Roman" w:cs="Times New Roman"/>
        <w:color w:val="000000" w:themeColor="text1"/>
        <w:sz w:val="18"/>
        <w:szCs w:val="18"/>
      </w:rPr>
      <w:t xml:space="preserve">Page </w:t>
    </w:r>
    <w:r w:rsidRPr="007C3B16">
      <w:rPr>
        <w:rFonts w:ascii="Times New Roman" w:hAnsi="Times New Roman" w:cs="Times New Roman"/>
        <w:color w:val="000000" w:themeColor="text1"/>
        <w:sz w:val="18"/>
        <w:szCs w:val="18"/>
      </w:rPr>
      <w:fldChar w:fldCharType="begin"/>
    </w:r>
    <w:r w:rsidRPr="007C3B16">
      <w:rPr>
        <w:rFonts w:ascii="Times New Roman" w:hAnsi="Times New Roman" w:cs="Times New Roman"/>
        <w:color w:val="000000" w:themeColor="text1"/>
        <w:sz w:val="18"/>
        <w:szCs w:val="18"/>
      </w:rPr>
      <w:instrText xml:space="preserve"> PAGE  \* Arabic  \* MERGEFORMAT </w:instrText>
    </w:r>
    <w:r w:rsidRPr="007C3B16">
      <w:rPr>
        <w:rFonts w:ascii="Times New Roman" w:hAnsi="Times New Roman" w:cs="Times New Roman"/>
        <w:color w:val="000000" w:themeColor="text1"/>
        <w:sz w:val="18"/>
        <w:szCs w:val="18"/>
      </w:rPr>
      <w:fldChar w:fldCharType="separate"/>
    </w:r>
    <w:r w:rsidRPr="007C3B16">
      <w:rPr>
        <w:rFonts w:ascii="Times New Roman" w:hAnsi="Times New Roman" w:cs="Times New Roman"/>
        <w:noProof/>
        <w:color w:val="000000" w:themeColor="text1"/>
        <w:sz w:val="18"/>
        <w:szCs w:val="18"/>
      </w:rPr>
      <w:t>2</w:t>
    </w:r>
    <w:r w:rsidRPr="007C3B16">
      <w:rPr>
        <w:rFonts w:ascii="Times New Roman" w:hAnsi="Times New Roman" w:cs="Times New Roman"/>
        <w:color w:val="000000" w:themeColor="text1"/>
        <w:sz w:val="18"/>
        <w:szCs w:val="18"/>
      </w:rPr>
      <w:fldChar w:fldCharType="end"/>
    </w:r>
    <w:r w:rsidRPr="007C3B16">
      <w:rPr>
        <w:rFonts w:ascii="Times New Roman" w:hAnsi="Times New Roman" w:cs="Times New Roman"/>
        <w:color w:val="000000" w:themeColor="text1"/>
        <w:sz w:val="18"/>
        <w:szCs w:val="18"/>
      </w:rPr>
      <w:t xml:space="preserve"> of </w:t>
    </w:r>
    <w:r w:rsidRPr="007C3B16">
      <w:rPr>
        <w:rFonts w:ascii="Times New Roman" w:hAnsi="Times New Roman" w:cs="Times New Roman"/>
        <w:color w:val="000000" w:themeColor="text1"/>
        <w:sz w:val="18"/>
        <w:szCs w:val="18"/>
      </w:rPr>
      <w:fldChar w:fldCharType="begin"/>
    </w:r>
    <w:r w:rsidRPr="007C3B16">
      <w:rPr>
        <w:rFonts w:ascii="Times New Roman" w:hAnsi="Times New Roman" w:cs="Times New Roman"/>
        <w:color w:val="000000" w:themeColor="text1"/>
        <w:sz w:val="18"/>
        <w:szCs w:val="18"/>
      </w:rPr>
      <w:instrText xml:space="preserve"> NUMPAGES  \* Arabic  \* MERGEFORMAT </w:instrText>
    </w:r>
    <w:r w:rsidRPr="007C3B16">
      <w:rPr>
        <w:rFonts w:ascii="Times New Roman" w:hAnsi="Times New Roman" w:cs="Times New Roman"/>
        <w:color w:val="000000" w:themeColor="text1"/>
        <w:sz w:val="18"/>
        <w:szCs w:val="18"/>
      </w:rPr>
      <w:fldChar w:fldCharType="separate"/>
    </w:r>
    <w:r w:rsidRPr="007C3B16">
      <w:rPr>
        <w:rFonts w:ascii="Times New Roman" w:hAnsi="Times New Roman" w:cs="Times New Roman"/>
        <w:noProof/>
        <w:color w:val="000000" w:themeColor="text1"/>
        <w:sz w:val="18"/>
        <w:szCs w:val="18"/>
      </w:rPr>
      <w:t>2</w:t>
    </w:r>
    <w:r w:rsidRPr="007C3B16">
      <w:rPr>
        <w:rFonts w:ascii="Times New Roman" w:hAnsi="Times New Roman" w:cs="Times New Roman"/>
        <w:color w:val="000000" w:themeColor="text1"/>
        <w:sz w:val="18"/>
        <w:szCs w:val="18"/>
      </w:rPr>
      <w:fldChar w:fldCharType="end"/>
    </w:r>
  </w:p>
  <w:p w14:paraId="46410841" w14:textId="77777777" w:rsidR="00B7083B" w:rsidRDefault="00B70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2835C" w14:textId="77777777" w:rsidR="00146CF4" w:rsidRDefault="00146CF4" w:rsidP="007C3B16">
      <w:pPr>
        <w:spacing w:after="0" w:line="240" w:lineRule="auto"/>
      </w:pPr>
      <w:r>
        <w:separator/>
      </w:r>
    </w:p>
  </w:footnote>
  <w:footnote w:type="continuationSeparator" w:id="0">
    <w:p w14:paraId="6372728D" w14:textId="77777777" w:rsidR="00146CF4" w:rsidRDefault="00146CF4" w:rsidP="007C3B16">
      <w:pPr>
        <w:spacing w:after="0" w:line="240" w:lineRule="auto"/>
      </w:pPr>
      <w:r>
        <w:continuationSeparator/>
      </w:r>
    </w:p>
  </w:footnote>
  <w:footnote w:id="1">
    <w:p w14:paraId="123BA629" w14:textId="12C2CE78" w:rsidR="00DE7F43" w:rsidRDefault="00DE7F43">
      <w:pPr>
        <w:pStyle w:val="FootnoteText"/>
      </w:pPr>
      <w:r>
        <w:rPr>
          <w:rStyle w:val="FootnoteReference"/>
        </w:rPr>
        <w:footnoteRef/>
      </w:r>
      <w:r>
        <w:t xml:space="preserve"> </w:t>
      </w:r>
      <w:r w:rsidR="00E54C57">
        <w:t>Emergency Decree Amending the Civil and C</w:t>
      </w:r>
      <w:r w:rsidR="006B4771">
        <w:t>o</w:t>
      </w:r>
      <w:r w:rsidR="00E54C57">
        <w:t>mmerc</w:t>
      </w:r>
      <w:r w:rsidR="006B4771">
        <w:t>i</w:t>
      </w:r>
      <w:r w:rsidR="00E54C57">
        <w:t>al Code</w:t>
      </w:r>
      <w:r w:rsidRPr="00DE7F43">
        <w:t xml:space="preserve"> B.E. 2564 (A.D. 2021)</w:t>
      </w:r>
    </w:p>
  </w:footnote>
  <w:footnote w:id="2">
    <w:p w14:paraId="19ACD7F8" w14:textId="1F1A9BD0" w:rsidR="00216A55" w:rsidRDefault="00216A55">
      <w:pPr>
        <w:pStyle w:val="FootnoteText"/>
      </w:pPr>
      <w:r>
        <w:rPr>
          <w:rStyle w:val="FootnoteReference"/>
        </w:rPr>
        <w:footnoteRef/>
      </w:r>
      <w:r>
        <w:t xml:space="preserve"> </w:t>
      </w:r>
      <w:r>
        <w:rPr>
          <w:rFonts w:hint="eastAsia"/>
        </w:rPr>
        <w:t>勅令＝</w:t>
      </w:r>
      <w:r>
        <w:t>Royal Decree</w:t>
      </w:r>
    </w:p>
  </w:footnote>
  <w:footnote w:id="3">
    <w:p w14:paraId="6F84A72A" w14:textId="77777777" w:rsidR="00E54C57" w:rsidRPr="00837C86" w:rsidRDefault="00E54C57" w:rsidP="00E54C57">
      <w:pPr>
        <w:pStyle w:val="FootnoteText"/>
        <w:rPr>
          <w:rFonts w:ascii="Times New Roman" w:hAnsi="Times New Roman" w:cs="Times New Roman"/>
          <w:sz w:val="18"/>
          <w:szCs w:val="18"/>
        </w:rPr>
      </w:pPr>
      <w:r w:rsidRPr="00837C86">
        <w:rPr>
          <w:rStyle w:val="FootnoteReference"/>
          <w:rFonts w:ascii="Times New Roman" w:hAnsi="Times New Roman" w:cs="Times New Roman"/>
          <w:sz w:val="18"/>
          <w:szCs w:val="18"/>
        </w:rPr>
        <w:footnoteRef/>
      </w:r>
      <w:r w:rsidRPr="00837C86">
        <w:rPr>
          <w:rFonts w:ascii="Times New Roman" w:hAnsi="Times New Roman" w:cs="Times New Roman"/>
          <w:sz w:val="18"/>
          <w:szCs w:val="18"/>
        </w:rPr>
        <w:t xml:space="preserve"> CCC, Section 653</w:t>
      </w:r>
    </w:p>
  </w:footnote>
  <w:footnote w:id="4">
    <w:p w14:paraId="2A51E1C0" w14:textId="77777777" w:rsidR="00F46075" w:rsidRDefault="00F46075" w:rsidP="00F46075">
      <w:pPr>
        <w:pStyle w:val="FootnoteText"/>
      </w:pPr>
      <w:r w:rsidRPr="00837C86">
        <w:rPr>
          <w:rStyle w:val="FootnoteReference"/>
          <w:rFonts w:ascii="Times New Roman" w:hAnsi="Times New Roman" w:cs="Times New Roman"/>
          <w:sz w:val="18"/>
          <w:szCs w:val="18"/>
        </w:rPr>
        <w:footnoteRef/>
      </w:r>
      <w:r w:rsidRPr="00837C86">
        <w:rPr>
          <w:rFonts w:ascii="Times New Roman" w:hAnsi="Times New Roman" w:cs="Times New Roman"/>
          <w:sz w:val="18"/>
          <w:szCs w:val="18"/>
        </w:rPr>
        <w:t xml:space="preserve"> CCC, Section 654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4497" w14:textId="2E0E915F" w:rsidR="00B7083B" w:rsidRPr="005036DE" w:rsidRDefault="00B7083B" w:rsidP="005036DE">
    <w:pPr>
      <w:pStyle w:val="Header"/>
      <w:jc w:val="right"/>
      <w:rPr>
        <w:sz w:val="18"/>
        <w:szCs w:val="18"/>
      </w:rPr>
    </w:pPr>
    <w:r w:rsidRPr="005036DE">
      <w:rPr>
        <w:sz w:val="18"/>
        <w:szCs w:val="18"/>
      </w:rPr>
      <w:t>NNP Advisory Ltd.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76E"/>
    <w:multiLevelType w:val="hybridMultilevel"/>
    <w:tmpl w:val="A56ED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B3DAB"/>
    <w:multiLevelType w:val="multilevel"/>
    <w:tmpl w:val="35E6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0B1B8A"/>
    <w:multiLevelType w:val="hybridMultilevel"/>
    <w:tmpl w:val="56D21D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60470B"/>
    <w:multiLevelType w:val="hybridMultilevel"/>
    <w:tmpl w:val="882453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C77005"/>
    <w:multiLevelType w:val="hybridMultilevel"/>
    <w:tmpl w:val="51B4EC0E"/>
    <w:lvl w:ilvl="0" w:tplc="88440C2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B1FA5"/>
    <w:multiLevelType w:val="hybridMultilevel"/>
    <w:tmpl w:val="44CC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D7A4D"/>
    <w:multiLevelType w:val="hybridMultilevel"/>
    <w:tmpl w:val="41C0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F315E5"/>
    <w:multiLevelType w:val="hybridMultilevel"/>
    <w:tmpl w:val="72EE72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0E2"/>
    <w:rsid w:val="00001B67"/>
    <w:rsid w:val="0000526A"/>
    <w:rsid w:val="00017A67"/>
    <w:rsid w:val="00052539"/>
    <w:rsid w:val="0005563F"/>
    <w:rsid w:val="00081FF2"/>
    <w:rsid w:val="00095384"/>
    <w:rsid w:val="000A05BE"/>
    <w:rsid w:val="000B67C7"/>
    <w:rsid w:val="001040AD"/>
    <w:rsid w:val="00104724"/>
    <w:rsid w:val="00120A42"/>
    <w:rsid w:val="00125975"/>
    <w:rsid w:val="00141A21"/>
    <w:rsid w:val="00146CF4"/>
    <w:rsid w:val="001779F7"/>
    <w:rsid w:val="00185CEF"/>
    <w:rsid w:val="0019229A"/>
    <w:rsid w:val="001E2665"/>
    <w:rsid w:val="001F3AF0"/>
    <w:rsid w:val="00216A55"/>
    <w:rsid w:val="00223891"/>
    <w:rsid w:val="002430DC"/>
    <w:rsid w:val="002578FD"/>
    <w:rsid w:val="00261ECF"/>
    <w:rsid w:val="00262656"/>
    <w:rsid w:val="002714DA"/>
    <w:rsid w:val="002C74ED"/>
    <w:rsid w:val="002E7DE1"/>
    <w:rsid w:val="002F41A8"/>
    <w:rsid w:val="002F7E30"/>
    <w:rsid w:val="00317FCB"/>
    <w:rsid w:val="003277A5"/>
    <w:rsid w:val="003314C6"/>
    <w:rsid w:val="00377242"/>
    <w:rsid w:val="00393110"/>
    <w:rsid w:val="00395BB2"/>
    <w:rsid w:val="003A6963"/>
    <w:rsid w:val="003A6F96"/>
    <w:rsid w:val="003C2D90"/>
    <w:rsid w:val="003C6EF9"/>
    <w:rsid w:val="003F14F2"/>
    <w:rsid w:val="003F3D45"/>
    <w:rsid w:val="004072A9"/>
    <w:rsid w:val="00423183"/>
    <w:rsid w:val="00475FBA"/>
    <w:rsid w:val="00497DA2"/>
    <w:rsid w:val="004A06EC"/>
    <w:rsid w:val="004D3A13"/>
    <w:rsid w:val="004E0847"/>
    <w:rsid w:val="005036DE"/>
    <w:rsid w:val="00570ADE"/>
    <w:rsid w:val="0059363B"/>
    <w:rsid w:val="00593E55"/>
    <w:rsid w:val="00597106"/>
    <w:rsid w:val="005B5BA4"/>
    <w:rsid w:val="006014CE"/>
    <w:rsid w:val="00632538"/>
    <w:rsid w:val="00646656"/>
    <w:rsid w:val="00677AC9"/>
    <w:rsid w:val="00683448"/>
    <w:rsid w:val="006B1757"/>
    <w:rsid w:val="006B4771"/>
    <w:rsid w:val="006E71AC"/>
    <w:rsid w:val="00761858"/>
    <w:rsid w:val="007734DC"/>
    <w:rsid w:val="00794CC4"/>
    <w:rsid w:val="007B7D3A"/>
    <w:rsid w:val="007C14CE"/>
    <w:rsid w:val="007C3B16"/>
    <w:rsid w:val="008077ED"/>
    <w:rsid w:val="00837C86"/>
    <w:rsid w:val="00861EDA"/>
    <w:rsid w:val="008C029D"/>
    <w:rsid w:val="008D7FA5"/>
    <w:rsid w:val="00903F25"/>
    <w:rsid w:val="00932B22"/>
    <w:rsid w:val="00971127"/>
    <w:rsid w:val="00977027"/>
    <w:rsid w:val="00991549"/>
    <w:rsid w:val="00991954"/>
    <w:rsid w:val="00A62C46"/>
    <w:rsid w:val="00A651C4"/>
    <w:rsid w:val="00A859B6"/>
    <w:rsid w:val="00A9197D"/>
    <w:rsid w:val="00AA1EFF"/>
    <w:rsid w:val="00AD7F0B"/>
    <w:rsid w:val="00AF09E6"/>
    <w:rsid w:val="00B66F9E"/>
    <w:rsid w:val="00B7083B"/>
    <w:rsid w:val="00B76191"/>
    <w:rsid w:val="00B91077"/>
    <w:rsid w:val="00BD325A"/>
    <w:rsid w:val="00BD54B6"/>
    <w:rsid w:val="00BE6522"/>
    <w:rsid w:val="00C0760C"/>
    <w:rsid w:val="00C22693"/>
    <w:rsid w:val="00C60210"/>
    <w:rsid w:val="00C641A5"/>
    <w:rsid w:val="00C700E2"/>
    <w:rsid w:val="00C84C30"/>
    <w:rsid w:val="00CA49D9"/>
    <w:rsid w:val="00CB7315"/>
    <w:rsid w:val="00CC760F"/>
    <w:rsid w:val="00CD60AB"/>
    <w:rsid w:val="00CE1931"/>
    <w:rsid w:val="00CE36C0"/>
    <w:rsid w:val="00D4069B"/>
    <w:rsid w:val="00D55B2A"/>
    <w:rsid w:val="00D55C3D"/>
    <w:rsid w:val="00D901E6"/>
    <w:rsid w:val="00DA1789"/>
    <w:rsid w:val="00DE3A84"/>
    <w:rsid w:val="00DE7F43"/>
    <w:rsid w:val="00E00E06"/>
    <w:rsid w:val="00E54C57"/>
    <w:rsid w:val="00E56CE6"/>
    <w:rsid w:val="00E81347"/>
    <w:rsid w:val="00E964F1"/>
    <w:rsid w:val="00F0290E"/>
    <w:rsid w:val="00F10C94"/>
    <w:rsid w:val="00F11E07"/>
    <w:rsid w:val="00F46075"/>
    <w:rsid w:val="00F96D61"/>
    <w:rsid w:val="00FA128A"/>
    <w:rsid w:val="00FB1209"/>
    <w:rsid w:val="00FC775A"/>
    <w:rsid w:val="00FD757F"/>
    <w:rsid w:val="00FE736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A0380"/>
  <w15:chartTrackingRefBased/>
  <w15:docId w15:val="{31EDBA05-BAFB-4A9C-B998-74A8A145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665"/>
  </w:style>
  <w:style w:type="paragraph" w:styleId="Heading1">
    <w:name w:val="heading 1"/>
    <w:basedOn w:val="Normal"/>
    <w:next w:val="Normal"/>
    <w:link w:val="Heading1Char"/>
    <w:uiPriority w:val="9"/>
    <w:qFormat/>
    <w:rsid w:val="003C6EF9"/>
    <w:pPr>
      <w:keepNext/>
      <w:spacing w:after="0"/>
      <w:jc w:val="center"/>
      <w:outlineLvl w:val="0"/>
    </w:pPr>
    <w:rPr>
      <w:rFonts w:ascii="Times New Roman" w:hAnsi="Times New Roman" w:cs="Times New Roman"/>
      <w:b/>
      <w:bCs/>
      <w:sz w:val="21"/>
      <w:szCs w:val="21"/>
    </w:rPr>
  </w:style>
  <w:style w:type="paragraph" w:styleId="Heading2">
    <w:name w:val="heading 2"/>
    <w:basedOn w:val="Normal"/>
    <w:next w:val="Normal"/>
    <w:link w:val="Heading2Char"/>
    <w:uiPriority w:val="9"/>
    <w:unhideWhenUsed/>
    <w:qFormat/>
    <w:rsid w:val="00BD54B6"/>
    <w:pPr>
      <w:keepNext/>
      <w:spacing w:after="0" w:line="0" w:lineRule="atLeast"/>
      <w:jc w:val="center"/>
      <w:outlineLvl w:val="1"/>
    </w:pPr>
    <w:rPr>
      <w:rFonts w:ascii="Times New Roman" w:hAnsi="Times New Roman" w:cs="Times New Roman"/>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4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06EC"/>
    <w:pPr>
      <w:ind w:left="720"/>
      <w:contextualSpacing/>
    </w:pPr>
  </w:style>
  <w:style w:type="paragraph" w:styleId="Header">
    <w:name w:val="header"/>
    <w:basedOn w:val="Normal"/>
    <w:link w:val="HeaderChar"/>
    <w:uiPriority w:val="99"/>
    <w:unhideWhenUsed/>
    <w:rsid w:val="007C3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B16"/>
  </w:style>
  <w:style w:type="paragraph" w:styleId="Footer">
    <w:name w:val="footer"/>
    <w:basedOn w:val="Normal"/>
    <w:link w:val="FooterChar"/>
    <w:uiPriority w:val="99"/>
    <w:unhideWhenUsed/>
    <w:rsid w:val="007C3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B16"/>
  </w:style>
  <w:style w:type="paragraph" w:customStyle="1" w:styleId="tophero-intro">
    <w:name w:val="tophero-intro"/>
    <w:basedOn w:val="Normal"/>
    <w:rsid w:val="00794CC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94C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6F9E"/>
    <w:rPr>
      <w:color w:val="0563C1" w:themeColor="hyperlink"/>
      <w:u w:val="single"/>
    </w:rPr>
  </w:style>
  <w:style w:type="character" w:styleId="UnresolvedMention">
    <w:name w:val="Unresolved Mention"/>
    <w:basedOn w:val="DefaultParagraphFont"/>
    <w:uiPriority w:val="99"/>
    <w:semiHidden/>
    <w:unhideWhenUsed/>
    <w:rsid w:val="00B66F9E"/>
    <w:rPr>
      <w:color w:val="605E5C"/>
      <w:shd w:val="clear" w:color="auto" w:fill="E1DFDD"/>
    </w:rPr>
  </w:style>
  <w:style w:type="paragraph" w:styleId="BalloonText">
    <w:name w:val="Balloon Text"/>
    <w:basedOn w:val="Normal"/>
    <w:link w:val="BalloonTextChar"/>
    <w:uiPriority w:val="99"/>
    <w:semiHidden/>
    <w:unhideWhenUsed/>
    <w:rsid w:val="00D55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B2A"/>
    <w:rPr>
      <w:rFonts w:ascii="Segoe UI" w:hAnsi="Segoe UI" w:cs="Segoe UI"/>
      <w:sz w:val="18"/>
      <w:szCs w:val="18"/>
    </w:rPr>
  </w:style>
  <w:style w:type="character" w:styleId="Emphasis">
    <w:name w:val="Emphasis"/>
    <w:basedOn w:val="DefaultParagraphFont"/>
    <w:uiPriority w:val="20"/>
    <w:qFormat/>
    <w:rsid w:val="00A62C46"/>
    <w:rPr>
      <w:i/>
      <w:iCs/>
    </w:rPr>
  </w:style>
  <w:style w:type="character" w:customStyle="1" w:styleId="Heading1Char">
    <w:name w:val="Heading 1 Char"/>
    <w:basedOn w:val="DefaultParagraphFont"/>
    <w:link w:val="Heading1"/>
    <w:uiPriority w:val="9"/>
    <w:rsid w:val="003C6EF9"/>
    <w:rPr>
      <w:rFonts w:ascii="Times New Roman" w:hAnsi="Times New Roman" w:cs="Times New Roman"/>
      <w:b/>
      <w:bCs/>
      <w:sz w:val="21"/>
      <w:szCs w:val="21"/>
    </w:rPr>
  </w:style>
  <w:style w:type="character" w:customStyle="1" w:styleId="Heading2Char">
    <w:name w:val="Heading 2 Char"/>
    <w:basedOn w:val="DefaultParagraphFont"/>
    <w:link w:val="Heading2"/>
    <w:uiPriority w:val="9"/>
    <w:rsid w:val="00BD54B6"/>
    <w:rPr>
      <w:rFonts w:ascii="Times New Roman" w:hAnsi="Times New Roman" w:cs="Times New Roman"/>
      <w:b/>
      <w:bCs/>
      <w:color w:val="000000" w:themeColor="text1"/>
    </w:rPr>
  </w:style>
  <w:style w:type="paragraph" w:styleId="BodyTextIndent">
    <w:name w:val="Body Text Indent"/>
    <w:basedOn w:val="Normal"/>
    <w:link w:val="BodyTextIndentChar"/>
    <w:uiPriority w:val="99"/>
    <w:unhideWhenUsed/>
    <w:rsid w:val="00BD54B6"/>
    <w:pPr>
      <w:spacing w:after="0" w:line="240" w:lineRule="auto"/>
      <w:ind w:left="331" w:hanging="331"/>
      <w:jc w:val="both"/>
    </w:pPr>
    <w:rPr>
      <w:rFonts w:ascii="Times New Roman" w:hAnsi="Times New Roman" w:cs="Times New Roman"/>
      <w:sz w:val="21"/>
      <w:szCs w:val="21"/>
      <w:shd w:val="clear" w:color="auto" w:fill="FFFFFF"/>
    </w:rPr>
  </w:style>
  <w:style w:type="character" w:customStyle="1" w:styleId="BodyTextIndentChar">
    <w:name w:val="Body Text Indent Char"/>
    <w:basedOn w:val="DefaultParagraphFont"/>
    <w:link w:val="BodyTextIndent"/>
    <w:uiPriority w:val="99"/>
    <w:rsid w:val="00BD54B6"/>
    <w:rPr>
      <w:rFonts w:ascii="Times New Roman" w:hAnsi="Times New Roman" w:cs="Times New Roman"/>
      <w:sz w:val="21"/>
      <w:szCs w:val="21"/>
    </w:rPr>
  </w:style>
  <w:style w:type="paragraph" w:styleId="BodyTextIndent2">
    <w:name w:val="Body Text Indent 2"/>
    <w:basedOn w:val="Normal"/>
    <w:link w:val="BodyTextIndent2Char"/>
    <w:uiPriority w:val="99"/>
    <w:unhideWhenUsed/>
    <w:rsid w:val="00BD54B6"/>
    <w:pPr>
      <w:spacing w:after="0" w:line="240" w:lineRule="auto"/>
      <w:ind w:left="61"/>
      <w:jc w:val="both"/>
    </w:pPr>
    <w:rPr>
      <w:rFonts w:ascii="Times New Roman" w:hAnsi="Times New Roman" w:cs="Times New Roman"/>
      <w:sz w:val="21"/>
      <w:szCs w:val="21"/>
      <w:shd w:val="clear" w:color="auto" w:fill="FFFFFF"/>
    </w:rPr>
  </w:style>
  <w:style w:type="character" w:customStyle="1" w:styleId="BodyTextIndent2Char">
    <w:name w:val="Body Text Indent 2 Char"/>
    <w:basedOn w:val="DefaultParagraphFont"/>
    <w:link w:val="BodyTextIndent2"/>
    <w:uiPriority w:val="99"/>
    <w:rsid w:val="00BD54B6"/>
    <w:rPr>
      <w:rFonts w:ascii="Times New Roman" w:hAnsi="Times New Roman" w:cs="Times New Roman"/>
      <w:sz w:val="21"/>
      <w:szCs w:val="21"/>
    </w:rPr>
  </w:style>
  <w:style w:type="paragraph" w:styleId="BodyText">
    <w:name w:val="Body Text"/>
    <w:basedOn w:val="Normal"/>
    <w:link w:val="BodyTextChar"/>
    <w:uiPriority w:val="99"/>
    <w:unhideWhenUsed/>
    <w:rsid w:val="00141A21"/>
    <w:pPr>
      <w:spacing w:after="0"/>
    </w:pPr>
    <w:rPr>
      <w:rFonts w:ascii="Times New Roman" w:hAnsi="Times New Roman" w:cs="Times New Roman"/>
      <w:b/>
      <w:bCs/>
    </w:rPr>
  </w:style>
  <w:style w:type="character" w:customStyle="1" w:styleId="BodyTextChar">
    <w:name w:val="Body Text Char"/>
    <w:basedOn w:val="DefaultParagraphFont"/>
    <w:link w:val="BodyText"/>
    <w:uiPriority w:val="99"/>
    <w:rsid w:val="00141A21"/>
    <w:rPr>
      <w:rFonts w:ascii="Times New Roman" w:hAnsi="Times New Roman" w:cs="Times New Roman"/>
      <w:b/>
      <w:bCs/>
    </w:rPr>
  </w:style>
  <w:style w:type="paragraph" w:styleId="FootnoteText">
    <w:name w:val="footnote text"/>
    <w:basedOn w:val="Normal"/>
    <w:link w:val="FootnoteTextChar"/>
    <w:uiPriority w:val="99"/>
    <w:semiHidden/>
    <w:unhideWhenUsed/>
    <w:rsid w:val="00E96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64F1"/>
    <w:rPr>
      <w:sz w:val="20"/>
      <w:szCs w:val="20"/>
    </w:rPr>
  </w:style>
  <w:style w:type="character" w:styleId="FootnoteReference">
    <w:name w:val="footnote reference"/>
    <w:basedOn w:val="DefaultParagraphFont"/>
    <w:uiPriority w:val="99"/>
    <w:semiHidden/>
    <w:unhideWhenUsed/>
    <w:rsid w:val="00E964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424673">
      <w:bodyDiv w:val="1"/>
      <w:marLeft w:val="0"/>
      <w:marRight w:val="0"/>
      <w:marTop w:val="0"/>
      <w:marBottom w:val="0"/>
      <w:divBdr>
        <w:top w:val="none" w:sz="0" w:space="0" w:color="auto"/>
        <w:left w:val="none" w:sz="0" w:space="0" w:color="auto"/>
        <w:bottom w:val="none" w:sz="0" w:space="0" w:color="auto"/>
        <w:right w:val="none" w:sz="0" w:space="0" w:color="auto"/>
      </w:divBdr>
      <w:divsChild>
        <w:div w:id="905608431">
          <w:marLeft w:val="0"/>
          <w:marRight w:val="0"/>
          <w:marTop w:val="0"/>
          <w:marBottom w:val="300"/>
          <w:divBdr>
            <w:top w:val="none" w:sz="0" w:space="0" w:color="auto"/>
            <w:left w:val="none" w:sz="0" w:space="0" w:color="auto"/>
            <w:bottom w:val="none" w:sz="0" w:space="0" w:color="auto"/>
            <w:right w:val="none" w:sz="0" w:space="0" w:color="auto"/>
          </w:divBdr>
          <w:divsChild>
            <w:div w:id="1756852787">
              <w:marLeft w:val="0"/>
              <w:marRight w:val="0"/>
              <w:marTop w:val="0"/>
              <w:marBottom w:val="0"/>
              <w:divBdr>
                <w:top w:val="none" w:sz="0" w:space="0" w:color="auto"/>
                <w:left w:val="none" w:sz="0" w:space="0" w:color="auto"/>
                <w:bottom w:val="none" w:sz="0" w:space="0" w:color="auto"/>
                <w:right w:val="none" w:sz="0" w:space="0" w:color="auto"/>
              </w:divBdr>
            </w:div>
          </w:divsChild>
        </w:div>
        <w:div w:id="1067534349">
          <w:marLeft w:val="0"/>
          <w:marRight w:val="0"/>
          <w:marTop w:val="0"/>
          <w:marBottom w:val="0"/>
          <w:divBdr>
            <w:top w:val="none" w:sz="0" w:space="0" w:color="auto"/>
            <w:left w:val="none" w:sz="0" w:space="0" w:color="auto"/>
            <w:bottom w:val="none" w:sz="0" w:space="0" w:color="auto"/>
            <w:right w:val="none" w:sz="0" w:space="0" w:color="auto"/>
          </w:divBdr>
          <w:divsChild>
            <w:div w:id="431709742">
              <w:marLeft w:val="0"/>
              <w:marRight w:val="0"/>
              <w:marTop w:val="0"/>
              <w:marBottom w:val="0"/>
              <w:divBdr>
                <w:top w:val="none" w:sz="0" w:space="0" w:color="auto"/>
                <w:left w:val="none" w:sz="0" w:space="0" w:color="auto"/>
                <w:bottom w:val="none" w:sz="0" w:space="0" w:color="auto"/>
                <w:right w:val="none" w:sz="0" w:space="0" w:color="auto"/>
              </w:divBdr>
              <w:divsChild>
                <w:div w:id="360404068">
                  <w:marLeft w:val="0"/>
                  <w:marRight w:val="0"/>
                  <w:marTop w:val="0"/>
                  <w:marBottom w:val="750"/>
                  <w:divBdr>
                    <w:top w:val="none" w:sz="0" w:space="0" w:color="auto"/>
                    <w:left w:val="none" w:sz="0" w:space="0" w:color="auto"/>
                    <w:bottom w:val="none" w:sz="0" w:space="0" w:color="auto"/>
                    <w:right w:val="none" w:sz="0" w:space="0" w:color="auto"/>
                  </w:divBdr>
                  <w:divsChild>
                    <w:div w:id="95610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np-advisory.com"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55C57-986F-464E-B776-D7CECC84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2</Pages>
  <Words>268</Words>
  <Characters>1529</Characters>
  <Application>Microsoft Office Word</Application>
  <DocSecurity>0</DocSecurity>
  <Lines>12</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Mitsuru Nishiuwatoko</dc:creator>
  <cp:keywords/>
  <dc:description/>
  <cp:lastModifiedBy>Mitsuru Nishiuwatoko</cp:lastModifiedBy>
  <cp:revision>14</cp:revision>
  <cp:lastPrinted>2020-04-02T10:31:00Z</cp:lastPrinted>
  <dcterms:created xsi:type="dcterms:W3CDTF">2021-05-01T07:40:00Z</dcterms:created>
  <dcterms:modified xsi:type="dcterms:W3CDTF">2021-05-03T11:00:00Z</dcterms:modified>
</cp:coreProperties>
</file>